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ascii="仿宋_GB2312" w:hAnsi="Arial"/>
          <w:bCs/>
          <w:kern w:val="44"/>
          <w:sz w:val="28"/>
          <w:szCs w:val="44"/>
        </w:rPr>
      </w:pPr>
      <w:bookmarkStart w:id="0" w:name="_Toc5884789"/>
      <w:bookmarkStart w:id="1" w:name="_Toc11594410"/>
      <w:r>
        <w:rPr>
          <w:rFonts w:hint="eastAsia" w:ascii="仿宋_GB2312" w:hAnsi="Arial"/>
          <w:bCs/>
          <w:kern w:val="44"/>
          <w:sz w:val="28"/>
          <w:szCs w:val="44"/>
        </w:rPr>
        <w:t>附件3</w:t>
      </w:r>
    </w:p>
    <w:p>
      <w:pPr>
        <w:keepNext/>
        <w:keepLines/>
        <w:jc w:val="center"/>
        <w:outlineLvl w:val="1"/>
        <w:rPr>
          <w:rFonts w:ascii="仿宋_GB2312" w:hAnsi="Arial"/>
          <w:b/>
          <w:bCs/>
          <w:kern w:val="44"/>
          <w:sz w:val="28"/>
          <w:szCs w:val="44"/>
        </w:rPr>
      </w:pPr>
      <w:bookmarkStart w:id="3" w:name="_GoBack"/>
      <w:r>
        <w:rPr>
          <w:rFonts w:hint="eastAsia" w:ascii="仿宋_GB2312" w:hAnsi="Arial"/>
          <w:bCs/>
          <w:kern w:val="44"/>
          <w:sz w:val="28"/>
          <w:szCs w:val="44"/>
          <w:u w:val="single"/>
        </w:rPr>
        <w:t>计划预算主管</w:t>
      </w:r>
      <w:bookmarkEnd w:id="3"/>
      <w:r>
        <w:rPr>
          <w:rFonts w:hint="eastAsia" w:ascii="仿宋_GB2312" w:hAnsi="Arial"/>
          <w:b/>
          <w:bCs/>
          <w:kern w:val="44"/>
          <w:sz w:val="28"/>
          <w:szCs w:val="44"/>
        </w:rPr>
        <w:t>岗位说明书</w:t>
      </w:r>
      <w:bookmarkEnd w:id="0"/>
      <w:bookmarkEnd w:id="1"/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6"/>
        <w:gridCol w:w="2627"/>
        <w:gridCol w:w="1257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所属部门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计划与</w:t>
            </w:r>
            <w:r>
              <w:rPr>
                <w:rFonts w:hint="eastAsia" w:ascii="仿宋_GB2312" w:hAnsi="Arial" w:eastAsia="仿宋_GB2312"/>
                <w:sz w:val="24"/>
                <w:szCs w:val="24"/>
              </w:rPr>
              <w:t>财务部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岗位编制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 xml:space="preserve">职等职级 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直接上级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计划与</w:t>
            </w:r>
            <w:r>
              <w:rPr>
                <w:rFonts w:hint="eastAsia" w:ascii="仿宋_GB2312" w:hAnsi="Arial" w:eastAsia="仿宋_GB2312"/>
                <w:sz w:val="24"/>
                <w:szCs w:val="24"/>
              </w:rPr>
              <w:t>财务部总经理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直接下级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工作概要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bookmarkStart w:id="2" w:name="OLE_LINK1"/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负责公司系统计划、预算管理工作。</w:t>
            </w:r>
            <w:bookmarkEnd w:id="2"/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制定公司年度计划、预算管理制度和办法，组织公司年度财务预算草案的编制、平衡及上报；负责计划、预算执行情况分析，组织各项经营业绩指标的考核工作。编制公司经济活动分析报告，并提出经营管理建议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全面负责下属基金公司预算确定及经营业绩考核办法的制定和实施，负责下达考核任务指标、评定考核结果。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负责清洁能源基金等直管基金计划、预算管理工作。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二、岗位职责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基金管理公司：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负责制定公司年度计划、预算管理制度和办法；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负责提出本公司年度计划、预算编制方案及要求，组织公司年度计划、财务预算草案的编制、平衡及上报；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根据集团公司下达的年度重点工作任务计划、财务预算提出公司计划预算方案，经党委会会审定后分解下达各部门、各下属基金公司；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负责计划、预算执行情况分析，针对计划预算执行中存在的问题查找原因，提出改进措施；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负责对计划、预算执行过程进行控制，根据客观情况变化提出预算调整方案，经公司批准后执行，杜绝不合理或无预算开支；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负责对公司各部门、各基金公司的计划、预算执行情况进行考核，促进生产经营管理优化；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负责编制公司的计划、预算执行情况分析报告、经济活动分析报告并提出经营管理建议。</w:t>
            </w:r>
          </w:p>
          <w:p>
            <w:pPr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 xml:space="preserve">    8.负责公司股权变更、国有资产评估备案工作。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9.负责领导交办的其他工作。</w:t>
            </w:r>
          </w:p>
          <w:p>
            <w:pPr>
              <w:rPr>
                <w:rFonts w:ascii="仿宋_GB2312" w:hAnsi="Arial" w:eastAsia="仿宋_GB2312"/>
                <w:b/>
                <w:sz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</w:rPr>
              <w:t>对下属基金公司管控：</w:t>
            </w:r>
          </w:p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负责下属基金公司预算确定；</w:t>
            </w:r>
          </w:p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负责下属基金公司经营业绩考核办法的制定和实施，包括下达年度任务、考核指标、评定考核结果。</w:t>
            </w:r>
          </w:p>
          <w:p>
            <w:pPr>
              <w:rPr>
                <w:rFonts w:ascii="仿宋_GB2312" w:hAnsi="Arial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清洁能源基金公司等直管基金公司：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负责制定清洁能源基金等直管基金年度计划、预算管理制度和办法；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负责提出清洁能源基金等直管基金年度计划、预算编制方案及要求，组织年度计划、财务预算草案的编制、平衡及上报；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根据公司下达的年度重点工作任务计划、财务预算提出清洁能源基金等直管基金计划预算方案，经董事会会审定后分解下达各部门执行；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负责清洁能源基金等直管基金计划、预算执行情况分析，针对计划预算执行中存在的问题查找原因，提出改进措施；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负责对清洁能源基金等直管基金计划、预算执行过程进行控制，根据客观情况变化提出预算调整方案，经批准后执行，杜绝不合理或无预算开支；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26" w:firstLineChars="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负责对清洁能源基金等直管基金各部门的计划、预算执行情况进行考核，促进生产经营管理优化；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26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负责编制清洁能源基金等直管基金的计划、预算执行情况分析报告、经济活动分析报告并提出经营管理建议。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hAnsi="Arial" w:eastAsia="仿宋_GB2312" w:cs="Times New Roman"/>
                <w:bCs/>
                <w:sz w:val="24"/>
                <w:szCs w:val="24"/>
              </w:rPr>
              <w:t>负责公司股权变更、国有资产评估备案工作。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9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内部协调关系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外部协调关系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59" w:type="dxa"/>
            <w:gridSpan w:val="5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本科及以上学历，财务管理、会计、金融、税务等相关专业背景；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本科毕业8年以上有财务、金融、税务等相关专业工作经验、硕士毕业6年以上工作经验、博士毕业4年以上工作经验；有集团内成员单位财务工作经验优先。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熟练基金领域财务管理相关规定；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具备良好的组织协调沟通能力、学习能力及体系化思维能力，进取心及主动意识强；</w:t>
            </w:r>
          </w:p>
          <w:p>
            <w:pPr>
              <w:numPr>
                <w:ilvl w:val="0"/>
                <w:numId w:val="8"/>
              </w:num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具有财经类专业中级及以上专业技术资格。</w:t>
            </w:r>
          </w:p>
          <w:p>
            <w:pPr>
              <w:ind w:left="89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工作强度分布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基本均匀，且工作饱满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工作环境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74" w:bottom="1700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仿宋_GB2312" w:hAnsi="Calibri" w:eastAsia="仿宋_GB2312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3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83D6C82"/>
    <w:multiLevelType w:val="multilevel"/>
    <w:tmpl w:val="283D6C82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CA56F0F"/>
    <w:multiLevelType w:val="multilevel"/>
    <w:tmpl w:val="2CA56F0F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 w:ascii="仿宋_GB2312" w:hAnsi="仿宋_GB2312" w:eastAsia="仿宋_GB2312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71406C"/>
    <w:multiLevelType w:val="multilevel"/>
    <w:tmpl w:val="4571406C"/>
    <w:lvl w:ilvl="0" w:tentative="0">
      <w:start w:val="1"/>
      <w:numFmt w:val="decimal"/>
      <w:pStyle w:val="27"/>
      <w:lvlText w:val="(%1)"/>
      <w:lvlJc w:val="left"/>
      <w:pPr>
        <w:tabs>
          <w:tab w:val="left" w:pos="1280"/>
        </w:tabs>
        <w:ind w:left="0" w:firstLine="64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6">
    <w:nsid w:val="66D01200"/>
    <w:multiLevelType w:val="multilevel"/>
    <w:tmpl w:val="66D01200"/>
    <w:lvl w:ilvl="0" w:tentative="0">
      <w:start w:val="1"/>
      <w:numFmt w:val="decimal"/>
      <w:suff w:val="nothing"/>
      <w:lvlText w:val="%1."/>
      <w:lvlJc w:val="left"/>
      <w:pPr>
        <w:ind w:left="895" w:hanging="43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F27B0F"/>
    <w:multiLevelType w:val="multilevel"/>
    <w:tmpl w:val="79F27B0F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 w:ascii="仿宋_GB2312" w:hAnsi="仿宋_GB2312" w:eastAsia="仿宋_GB2312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  <w:lvlOverride w:ilvl="0">
      <w:lvl w:ilvl="0" w:tentative="1">
        <w:start w:val="1"/>
        <w:numFmt w:val="chineseCountingThousand"/>
        <w:pStyle w:val="20"/>
        <w:lvlText w:val="(%1)"/>
        <w:lvlJc w:val="left"/>
        <w:pPr>
          <w:tabs>
            <w:tab w:val="left" w:pos="1440"/>
          </w:tabs>
          <w:ind w:left="0" w:firstLine="643"/>
        </w:pPr>
        <w:rPr>
          <w:rFonts w:hint="eastAsia" w:ascii="楷体_GB2312" w:eastAsia="楷体_GB2312"/>
          <w:b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001E8F"/>
    <w:rsid w:val="0000797C"/>
    <w:rsid w:val="00050630"/>
    <w:rsid w:val="00070FF6"/>
    <w:rsid w:val="00075457"/>
    <w:rsid w:val="000758E0"/>
    <w:rsid w:val="00092083"/>
    <w:rsid w:val="000A179A"/>
    <w:rsid w:val="000A2715"/>
    <w:rsid w:val="000C3F90"/>
    <w:rsid w:val="000E4A6D"/>
    <w:rsid w:val="000E5070"/>
    <w:rsid w:val="000F126D"/>
    <w:rsid w:val="001054FA"/>
    <w:rsid w:val="00116FA5"/>
    <w:rsid w:val="00151426"/>
    <w:rsid w:val="001750B5"/>
    <w:rsid w:val="0018470F"/>
    <w:rsid w:val="00186A7A"/>
    <w:rsid w:val="001C3358"/>
    <w:rsid w:val="001D4E9B"/>
    <w:rsid w:val="001D7795"/>
    <w:rsid w:val="001F45E0"/>
    <w:rsid w:val="00204300"/>
    <w:rsid w:val="00213EA4"/>
    <w:rsid w:val="0023349B"/>
    <w:rsid w:val="00263E46"/>
    <w:rsid w:val="002A4F0E"/>
    <w:rsid w:val="00312965"/>
    <w:rsid w:val="00335554"/>
    <w:rsid w:val="00340114"/>
    <w:rsid w:val="003528ED"/>
    <w:rsid w:val="003548D7"/>
    <w:rsid w:val="003838EB"/>
    <w:rsid w:val="0038414C"/>
    <w:rsid w:val="003B5818"/>
    <w:rsid w:val="003D7595"/>
    <w:rsid w:val="003F6864"/>
    <w:rsid w:val="00447C2C"/>
    <w:rsid w:val="004557DC"/>
    <w:rsid w:val="0046076E"/>
    <w:rsid w:val="004640BD"/>
    <w:rsid w:val="00474089"/>
    <w:rsid w:val="004E665C"/>
    <w:rsid w:val="004F3B76"/>
    <w:rsid w:val="0051467E"/>
    <w:rsid w:val="00524A88"/>
    <w:rsid w:val="00534DF9"/>
    <w:rsid w:val="00537B32"/>
    <w:rsid w:val="00553855"/>
    <w:rsid w:val="005819CA"/>
    <w:rsid w:val="00583D2F"/>
    <w:rsid w:val="0059554D"/>
    <w:rsid w:val="005D6110"/>
    <w:rsid w:val="0060767C"/>
    <w:rsid w:val="0064591B"/>
    <w:rsid w:val="006548E6"/>
    <w:rsid w:val="00655B71"/>
    <w:rsid w:val="00680CCE"/>
    <w:rsid w:val="0069163B"/>
    <w:rsid w:val="006A2570"/>
    <w:rsid w:val="006A589A"/>
    <w:rsid w:val="006A6DFD"/>
    <w:rsid w:val="006A7F6C"/>
    <w:rsid w:val="007201D6"/>
    <w:rsid w:val="00720B19"/>
    <w:rsid w:val="00750AAD"/>
    <w:rsid w:val="007549FF"/>
    <w:rsid w:val="007A5949"/>
    <w:rsid w:val="007B5BDF"/>
    <w:rsid w:val="007D5E16"/>
    <w:rsid w:val="007D5E37"/>
    <w:rsid w:val="00812385"/>
    <w:rsid w:val="00822812"/>
    <w:rsid w:val="008272D7"/>
    <w:rsid w:val="00832ECD"/>
    <w:rsid w:val="008539C9"/>
    <w:rsid w:val="008C65F0"/>
    <w:rsid w:val="008D4902"/>
    <w:rsid w:val="008D66E4"/>
    <w:rsid w:val="008E0C5E"/>
    <w:rsid w:val="008F3626"/>
    <w:rsid w:val="008F3CCA"/>
    <w:rsid w:val="00904B1E"/>
    <w:rsid w:val="00912CD0"/>
    <w:rsid w:val="00925697"/>
    <w:rsid w:val="00933D15"/>
    <w:rsid w:val="0094469B"/>
    <w:rsid w:val="00954901"/>
    <w:rsid w:val="00961552"/>
    <w:rsid w:val="0098331E"/>
    <w:rsid w:val="009D7AEF"/>
    <w:rsid w:val="00A006B4"/>
    <w:rsid w:val="00A0371F"/>
    <w:rsid w:val="00A07C2E"/>
    <w:rsid w:val="00A124EC"/>
    <w:rsid w:val="00A13980"/>
    <w:rsid w:val="00A230B3"/>
    <w:rsid w:val="00A24170"/>
    <w:rsid w:val="00A321A7"/>
    <w:rsid w:val="00A467D6"/>
    <w:rsid w:val="00A52B61"/>
    <w:rsid w:val="00A912AC"/>
    <w:rsid w:val="00A967CD"/>
    <w:rsid w:val="00AC0284"/>
    <w:rsid w:val="00AE5631"/>
    <w:rsid w:val="00AE7195"/>
    <w:rsid w:val="00B1460A"/>
    <w:rsid w:val="00B3597D"/>
    <w:rsid w:val="00B57C20"/>
    <w:rsid w:val="00B7094B"/>
    <w:rsid w:val="00BB0C5C"/>
    <w:rsid w:val="00BD278E"/>
    <w:rsid w:val="00BE34F3"/>
    <w:rsid w:val="00C57283"/>
    <w:rsid w:val="00CA1A34"/>
    <w:rsid w:val="00CD6EFF"/>
    <w:rsid w:val="00CE3ABB"/>
    <w:rsid w:val="00CF7F3B"/>
    <w:rsid w:val="00D34D61"/>
    <w:rsid w:val="00D97F45"/>
    <w:rsid w:val="00DA1F69"/>
    <w:rsid w:val="00DB19DE"/>
    <w:rsid w:val="00DE0FEB"/>
    <w:rsid w:val="00E16A48"/>
    <w:rsid w:val="00E61AC1"/>
    <w:rsid w:val="00E67CDF"/>
    <w:rsid w:val="00F2781B"/>
    <w:rsid w:val="00F33712"/>
    <w:rsid w:val="00FC44FF"/>
    <w:rsid w:val="00FD0E4E"/>
    <w:rsid w:val="00FD6F5A"/>
    <w:rsid w:val="00FE324A"/>
    <w:rsid w:val="00FF40E5"/>
    <w:rsid w:val="00FF78A3"/>
    <w:rsid w:val="04374DC5"/>
    <w:rsid w:val="070551E7"/>
    <w:rsid w:val="0BA90F08"/>
    <w:rsid w:val="0E0D2895"/>
    <w:rsid w:val="0F9E6B49"/>
    <w:rsid w:val="10797E51"/>
    <w:rsid w:val="13504E6D"/>
    <w:rsid w:val="1FD07828"/>
    <w:rsid w:val="2DE04FA7"/>
    <w:rsid w:val="308E782A"/>
    <w:rsid w:val="327E29E7"/>
    <w:rsid w:val="34A05FC2"/>
    <w:rsid w:val="39855B9D"/>
    <w:rsid w:val="3AD105E7"/>
    <w:rsid w:val="3D790B48"/>
    <w:rsid w:val="4E0830E5"/>
    <w:rsid w:val="4FF22CAB"/>
    <w:rsid w:val="5149300F"/>
    <w:rsid w:val="5B475A7D"/>
    <w:rsid w:val="68C3129F"/>
    <w:rsid w:val="6E3221E0"/>
    <w:rsid w:val="6F384347"/>
    <w:rsid w:val="798269BB"/>
    <w:rsid w:val="7F0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5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6">
    <w:name w:val="页脚 Char"/>
    <w:qFormat/>
    <w:uiPriority w:val="99"/>
    <w:rPr>
      <w:rFonts w:eastAsia="Calibri"/>
      <w:sz w:val="21"/>
    </w:rPr>
  </w:style>
  <w:style w:type="paragraph" w:customStyle="1" w:styleId="17">
    <w:name w:val="公文标题"/>
    <w:basedOn w:val="1"/>
    <w:link w:val="19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1级标题"/>
    <w:basedOn w:val="14"/>
    <w:link w:val="22"/>
    <w:qFormat/>
    <w:uiPriority w:val="0"/>
    <w:pPr>
      <w:numPr>
        <w:ilvl w:val="0"/>
        <w:numId w:val="1"/>
      </w:numPr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9">
    <w:name w:val="公文标题 字符"/>
    <w:link w:val="1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0">
    <w:name w:val="2级标题"/>
    <w:basedOn w:val="1"/>
    <w:link w:val="24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21">
    <w:name w:val="列出段落 字符"/>
    <w:link w:val="14"/>
    <w:qFormat/>
    <w:uiPriority w:val="34"/>
    <w:rPr>
      <w:kern w:val="2"/>
      <w:sz w:val="21"/>
      <w:szCs w:val="22"/>
    </w:rPr>
  </w:style>
  <w:style w:type="character" w:customStyle="1" w:styleId="22">
    <w:name w:val="1级标题 字符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3">
    <w:name w:val="3级标题"/>
    <w:basedOn w:val="1"/>
    <w:link w:val="26"/>
    <w:qFormat/>
    <w:uiPriority w:val="0"/>
    <w:pPr>
      <w:numPr>
        <w:ilvl w:val="0"/>
        <w:numId w:val="3"/>
      </w:numPr>
      <w:spacing w:line="578" w:lineRule="exact"/>
      <w:ind w:firstLine="641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4">
    <w:name w:val="2级标题 字符"/>
    <w:link w:val="20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5">
    <w:name w:val="公文正文"/>
    <w:basedOn w:val="1"/>
    <w:link w:val="28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6">
    <w:name w:val="3级标题 字符"/>
    <w:link w:val="23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7">
    <w:name w:val="4级标题"/>
    <w:basedOn w:val="1"/>
    <w:link w:val="30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8">
    <w:name w:val="公文正文 字符"/>
    <w:link w:val="25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9">
    <w:name w:val="附件标记"/>
    <w:basedOn w:val="1"/>
    <w:link w:val="31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30">
    <w:name w:val="4级标题 字符"/>
    <w:link w:val="2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31">
    <w:name w:val="附件标记 字符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2">
    <w:name w:val="列出段落111"/>
    <w:basedOn w:val="1"/>
    <w:qFormat/>
    <w:uiPriority w:val="34"/>
    <w:pPr>
      <w:spacing w:line="600" w:lineRule="atLeast"/>
      <w:ind w:firstLine="420" w:firstLineChars="200"/>
    </w:pPr>
    <w:rPr>
      <w:rFonts w:ascii="等线" w:hAnsi="等线" w:eastAsia="华文细黑"/>
      <w:sz w:val="32"/>
    </w:rPr>
  </w:style>
  <w:style w:type="paragraph" w:customStyle="1" w:styleId="33">
    <w:name w:val="列出段落11"/>
    <w:basedOn w:val="1"/>
    <w:qFormat/>
    <w:uiPriority w:val="34"/>
    <w:pPr>
      <w:spacing w:line="600" w:lineRule="atLeast"/>
      <w:ind w:firstLine="420" w:firstLineChars="200"/>
    </w:pPr>
    <w:rPr>
      <w:rFonts w:eastAsia="华文细黑" w:asciiTheme="minorHAnsi" w:hAnsiTheme="minorHAns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09139-78FB-4C15-9D95-1129FD607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6</Pages>
  <Words>2765</Words>
  <Characters>2769</Characters>
  <Lines>30</Lines>
  <Paragraphs>8</Paragraphs>
  <TotalTime>382</TotalTime>
  <ScaleCrop>false</ScaleCrop>
  <LinksUpToDate>false</LinksUpToDate>
  <CharactersWithSpaces>2777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2020-04-21T07:27:00Z</dcterms:created>
  <dc:creator>Microsoft</dc:creator>
  <cp:lastModifiedBy>马庚辰</cp:lastModifiedBy>
  <cp:lastPrinted>2020-04-22T01:47:00Z</cp:lastPrinted>
  <dcterms:modified xsi:type="dcterms:W3CDTF">2020-08-31T02:16:07Z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