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left"/>
        <w:outlineLvl w:val="1"/>
        <w:rPr>
          <w:rFonts w:ascii="仿宋_GB2312" w:hAnsi="Arial"/>
          <w:bCs/>
          <w:kern w:val="44"/>
          <w:sz w:val="28"/>
          <w:szCs w:val="44"/>
        </w:rPr>
      </w:pPr>
      <w:r>
        <w:rPr>
          <w:rFonts w:hint="eastAsia" w:ascii="仿宋_GB2312" w:hAnsi="Arial"/>
          <w:bCs/>
          <w:kern w:val="44"/>
          <w:sz w:val="28"/>
          <w:szCs w:val="44"/>
        </w:rPr>
        <w:t>附件1</w:t>
      </w:r>
    </w:p>
    <w:p>
      <w:pPr>
        <w:keepNext/>
        <w:keepLines/>
        <w:snapToGrid w:val="0"/>
        <w:spacing w:line="276" w:lineRule="auto"/>
        <w:jc w:val="center"/>
        <w:outlineLvl w:val="1"/>
        <w:rPr>
          <w:rFonts w:ascii="仿宋_GB2312" w:hAnsi="Arial" w:eastAsia="仿宋_GB2312"/>
          <w:b/>
          <w:bCs/>
          <w:kern w:val="44"/>
          <w:sz w:val="32"/>
          <w:szCs w:val="48"/>
        </w:rPr>
      </w:pPr>
      <w:bookmarkStart w:id="0" w:name="_Toc11594392"/>
      <w:r>
        <w:rPr>
          <w:rFonts w:hint="eastAsia" w:ascii="仿宋_GB2312" w:hAnsi="Arial" w:eastAsia="仿宋_GB2312"/>
          <w:b/>
          <w:bCs/>
          <w:kern w:val="44"/>
          <w:sz w:val="32"/>
          <w:szCs w:val="48"/>
        </w:rPr>
        <w:t>国家电投集团基金管理有限公司</w:t>
      </w:r>
    </w:p>
    <w:p>
      <w:pPr>
        <w:keepNext/>
        <w:keepLines/>
        <w:snapToGrid w:val="0"/>
        <w:spacing w:line="276" w:lineRule="auto"/>
        <w:jc w:val="center"/>
        <w:outlineLvl w:val="1"/>
        <w:rPr>
          <w:rFonts w:ascii="仿宋_GB2312" w:hAnsi="Arial" w:eastAsia="仿宋_GB2312"/>
          <w:b/>
          <w:bCs/>
          <w:kern w:val="44"/>
          <w:sz w:val="32"/>
          <w:szCs w:val="48"/>
        </w:rPr>
      </w:pPr>
      <w:r>
        <w:rPr>
          <w:rFonts w:hint="eastAsia" w:ascii="仿宋_GB2312" w:hAnsi="Arial" w:eastAsia="仿宋_GB2312"/>
          <w:b/>
          <w:bCs/>
          <w:kern w:val="44"/>
          <w:sz w:val="32"/>
          <w:szCs w:val="48"/>
        </w:rPr>
        <w:t>风险管理部副总经理岗位说明书</w:t>
      </w:r>
      <w:r>
        <w:rPr>
          <w:rFonts w:hint="eastAsia" w:ascii="仿宋_GB2312" w:hAnsi="Arial" w:eastAsia="仿宋_GB2312"/>
          <w:b/>
          <w:sz w:val="40"/>
          <w:szCs w:val="28"/>
        </w:rPr>
        <w:t xml:space="preserve"> </w:t>
      </w:r>
      <w:bookmarkEnd w:id="0"/>
    </w:p>
    <w:tbl>
      <w:tblPr>
        <w:tblStyle w:val="2"/>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426"/>
        <w:gridCol w:w="1588"/>
        <w:gridCol w:w="1956"/>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138" w:type="dxa"/>
            <w:gridSpan w:val="5"/>
            <w:shd w:val="clear" w:color="auto" w:fill="D9D9D9"/>
          </w:tcPr>
          <w:p>
            <w:pPr>
              <w:spacing w:line="360" w:lineRule="auto"/>
              <w:rPr>
                <w:rFonts w:ascii="仿宋_GB2312" w:hAnsi="Arial" w:eastAsia="仿宋_GB2312"/>
                <w:bCs/>
                <w:sz w:val="24"/>
                <w:szCs w:val="24"/>
              </w:rPr>
            </w:pPr>
            <w:r>
              <w:rPr>
                <w:rFonts w:hint="eastAsia" w:ascii="仿宋_GB2312" w:hAnsi="Arial" w:eastAsia="仿宋_GB2312"/>
                <w:bCs/>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shd w:val="clear" w:color="auto" w:fill="auto"/>
            <w:vAlign w:val="center"/>
          </w:tcPr>
          <w:p>
            <w:pPr>
              <w:spacing w:line="360" w:lineRule="auto"/>
              <w:jc w:val="center"/>
              <w:rPr>
                <w:rFonts w:ascii="仿宋_GB2312" w:hAnsi="Arial" w:eastAsia="仿宋_GB2312"/>
                <w:sz w:val="24"/>
                <w:szCs w:val="24"/>
              </w:rPr>
            </w:pPr>
            <w:r>
              <w:rPr>
                <w:rFonts w:hint="eastAsia" w:ascii="仿宋_GB2312" w:hAnsi="Arial" w:eastAsia="仿宋_GB2312"/>
                <w:bCs/>
                <w:sz w:val="24"/>
                <w:szCs w:val="24"/>
              </w:rPr>
              <w:t>所属部门</w:t>
            </w:r>
          </w:p>
        </w:tc>
        <w:tc>
          <w:tcPr>
            <w:tcW w:w="2014" w:type="dxa"/>
            <w:gridSpan w:val="2"/>
            <w:shd w:val="clear" w:color="auto" w:fill="auto"/>
            <w:vAlign w:val="center"/>
          </w:tcPr>
          <w:p>
            <w:pPr>
              <w:spacing w:before="78" w:beforeLines="25" w:after="78" w:afterLines="25" w:line="240" w:lineRule="exact"/>
              <w:jc w:val="left"/>
              <w:rPr>
                <w:rFonts w:ascii="仿宋_GB2312" w:hAnsi="Arial" w:eastAsia="仿宋_GB2312"/>
                <w:sz w:val="24"/>
                <w:szCs w:val="24"/>
              </w:rPr>
            </w:pPr>
            <w:r>
              <w:rPr>
                <w:rFonts w:hint="eastAsia" w:ascii="仿宋_GB2312" w:hAnsi="Arial" w:eastAsia="仿宋_GB2312"/>
                <w:sz w:val="24"/>
                <w:szCs w:val="24"/>
              </w:rPr>
              <w:t>风险管理部</w:t>
            </w:r>
          </w:p>
        </w:tc>
        <w:tc>
          <w:tcPr>
            <w:tcW w:w="1956" w:type="dxa"/>
            <w:shd w:val="clear" w:color="auto" w:fill="auto"/>
            <w:vAlign w:val="center"/>
          </w:tcPr>
          <w:p>
            <w:pPr>
              <w:spacing w:line="360" w:lineRule="auto"/>
              <w:jc w:val="center"/>
              <w:rPr>
                <w:rFonts w:ascii="仿宋_GB2312" w:hAnsi="Arial" w:eastAsia="仿宋_GB2312"/>
                <w:bCs/>
                <w:sz w:val="24"/>
                <w:szCs w:val="24"/>
              </w:rPr>
            </w:pPr>
            <w:r>
              <w:rPr>
                <w:rFonts w:hint="eastAsia" w:ascii="仿宋_GB2312" w:hAnsi="Arial" w:eastAsia="仿宋_GB2312"/>
                <w:bCs/>
                <w:sz w:val="24"/>
                <w:szCs w:val="24"/>
              </w:rPr>
              <w:t>岗位编号</w:t>
            </w:r>
          </w:p>
        </w:tc>
        <w:tc>
          <w:tcPr>
            <w:tcW w:w="3785" w:type="dxa"/>
            <w:shd w:val="clear" w:color="auto" w:fill="auto"/>
            <w:vAlign w:val="center"/>
          </w:tcPr>
          <w:p>
            <w:pPr>
              <w:spacing w:before="78" w:beforeLines="25" w:after="78" w:afterLines="25"/>
              <w:rPr>
                <w:rFonts w:ascii="仿宋_GB2312" w:hAnsi="楷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shd w:val="clear" w:color="auto" w:fill="auto"/>
            <w:vAlign w:val="center"/>
          </w:tcPr>
          <w:p>
            <w:pPr>
              <w:spacing w:line="360" w:lineRule="auto"/>
              <w:jc w:val="center"/>
              <w:rPr>
                <w:rFonts w:ascii="仿宋_GB2312" w:hAnsi="Arial" w:eastAsia="仿宋_GB2312"/>
                <w:sz w:val="24"/>
                <w:szCs w:val="24"/>
              </w:rPr>
            </w:pPr>
            <w:r>
              <w:rPr>
                <w:rFonts w:hint="eastAsia" w:ascii="仿宋_GB2312" w:hAnsi="Arial" w:eastAsia="仿宋_GB2312"/>
                <w:bCs/>
                <w:sz w:val="24"/>
                <w:szCs w:val="24"/>
              </w:rPr>
              <w:t>岗位编制</w:t>
            </w:r>
          </w:p>
        </w:tc>
        <w:tc>
          <w:tcPr>
            <w:tcW w:w="2014" w:type="dxa"/>
            <w:gridSpan w:val="2"/>
            <w:shd w:val="clear" w:color="auto" w:fill="auto"/>
            <w:vAlign w:val="center"/>
          </w:tcPr>
          <w:p>
            <w:pPr>
              <w:spacing w:before="78" w:beforeLines="25" w:after="78" w:afterLines="25"/>
              <w:rPr>
                <w:rFonts w:ascii="仿宋_GB2312" w:hAnsi="Arial" w:eastAsia="仿宋_GB2312"/>
                <w:sz w:val="24"/>
                <w:szCs w:val="24"/>
              </w:rPr>
            </w:pPr>
            <w:r>
              <w:rPr>
                <w:rFonts w:hint="eastAsia" w:ascii="仿宋_GB2312" w:hAnsi="Arial" w:eastAsia="仿宋_GB2312"/>
                <w:sz w:val="24"/>
                <w:szCs w:val="24"/>
              </w:rPr>
              <w:t>1</w:t>
            </w:r>
          </w:p>
        </w:tc>
        <w:tc>
          <w:tcPr>
            <w:tcW w:w="1956" w:type="dxa"/>
            <w:shd w:val="clear" w:color="auto" w:fill="auto"/>
            <w:vAlign w:val="center"/>
          </w:tcPr>
          <w:p>
            <w:pPr>
              <w:spacing w:line="360" w:lineRule="auto"/>
              <w:jc w:val="center"/>
              <w:rPr>
                <w:rFonts w:ascii="仿宋_GB2312" w:hAnsi="Arial" w:eastAsia="仿宋_GB2312"/>
                <w:bCs/>
                <w:sz w:val="24"/>
                <w:szCs w:val="24"/>
              </w:rPr>
            </w:pPr>
            <w:r>
              <w:rPr>
                <w:rFonts w:hint="eastAsia" w:ascii="仿宋_GB2312" w:hAnsi="Arial" w:eastAsia="仿宋_GB2312"/>
                <w:bCs/>
                <w:sz w:val="24"/>
                <w:szCs w:val="24"/>
              </w:rPr>
              <w:t xml:space="preserve">职等职级 </w:t>
            </w:r>
          </w:p>
        </w:tc>
        <w:tc>
          <w:tcPr>
            <w:tcW w:w="3785" w:type="dxa"/>
            <w:shd w:val="clear" w:color="auto" w:fill="auto"/>
            <w:vAlign w:val="center"/>
          </w:tcPr>
          <w:p>
            <w:pPr>
              <w:spacing w:before="78" w:beforeLines="25" w:after="78" w:afterLines="25"/>
              <w:rPr>
                <w:rFonts w:ascii="仿宋_GB2312" w:hAnsi="Arial" w:eastAsia="仿宋_GB2312"/>
                <w:sz w:val="24"/>
                <w:szCs w:val="24"/>
              </w:rPr>
            </w:pPr>
            <w:r>
              <w:rPr>
                <w:rFonts w:hint="eastAsia" w:ascii="仿宋_GB2312" w:hAnsi="Arial" w:eastAsia="仿宋_GB2312"/>
                <w:sz w:val="24"/>
                <w:szCs w:val="24"/>
              </w:rPr>
              <w:t>部门副总经理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83" w:type="dxa"/>
            <w:shd w:val="clear" w:color="auto" w:fill="auto"/>
            <w:vAlign w:val="center"/>
          </w:tcPr>
          <w:p>
            <w:pPr>
              <w:spacing w:line="360" w:lineRule="auto"/>
              <w:jc w:val="center"/>
              <w:rPr>
                <w:rFonts w:ascii="仿宋_GB2312" w:hAnsi="Arial" w:eastAsia="仿宋_GB2312"/>
                <w:bCs/>
                <w:sz w:val="24"/>
                <w:szCs w:val="24"/>
              </w:rPr>
            </w:pPr>
            <w:r>
              <w:rPr>
                <w:rFonts w:hint="eastAsia" w:ascii="仿宋_GB2312" w:hAnsi="Arial" w:eastAsia="仿宋_GB2312"/>
                <w:bCs/>
                <w:sz w:val="24"/>
                <w:szCs w:val="24"/>
              </w:rPr>
              <w:t>直接上级</w:t>
            </w:r>
          </w:p>
        </w:tc>
        <w:tc>
          <w:tcPr>
            <w:tcW w:w="2014" w:type="dxa"/>
            <w:gridSpan w:val="2"/>
            <w:shd w:val="clear" w:color="auto" w:fill="auto"/>
            <w:vAlign w:val="center"/>
          </w:tcPr>
          <w:p>
            <w:pPr>
              <w:spacing w:before="78" w:beforeLines="25" w:after="78" w:afterLines="25"/>
              <w:rPr>
                <w:rFonts w:ascii="仿宋_GB2312" w:hAnsi="Arial" w:eastAsia="仿宋_GB2312"/>
                <w:sz w:val="24"/>
                <w:szCs w:val="24"/>
              </w:rPr>
            </w:pPr>
            <w:r>
              <w:rPr>
                <w:rFonts w:hint="eastAsia" w:ascii="仿宋_GB2312" w:hAnsi="Arial" w:eastAsia="仿宋_GB2312"/>
                <w:sz w:val="24"/>
                <w:szCs w:val="24"/>
              </w:rPr>
              <w:t>部门总经理</w:t>
            </w:r>
          </w:p>
        </w:tc>
        <w:tc>
          <w:tcPr>
            <w:tcW w:w="1956" w:type="dxa"/>
            <w:shd w:val="clear" w:color="auto" w:fill="auto"/>
            <w:vAlign w:val="center"/>
          </w:tcPr>
          <w:p>
            <w:pPr>
              <w:spacing w:before="78" w:beforeLines="25" w:after="78" w:afterLines="25"/>
              <w:jc w:val="center"/>
              <w:rPr>
                <w:rFonts w:ascii="仿宋_GB2312" w:hAnsi="Arial" w:eastAsia="仿宋_GB2312"/>
                <w:bCs/>
                <w:sz w:val="24"/>
                <w:szCs w:val="24"/>
              </w:rPr>
            </w:pPr>
            <w:r>
              <w:rPr>
                <w:rFonts w:hint="eastAsia" w:ascii="仿宋_GB2312" w:hAnsi="Arial" w:eastAsia="仿宋_GB2312"/>
                <w:bCs/>
                <w:sz w:val="24"/>
                <w:szCs w:val="24"/>
              </w:rPr>
              <w:t>直接下级</w:t>
            </w:r>
          </w:p>
        </w:tc>
        <w:tc>
          <w:tcPr>
            <w:tcW w:w="3785" w:type="dxa"/>
            <w:shd w:val="clear" w:color="auto" w:fill="auto"/>
            <w:vAlign w:val="center"/>
          </w:tcPr>
          <w:p>
            <w:pPr>
              <w:spacing w:before="78" w:beforeLines="25" w:after="78" w:afterLines="25" w:line="240" w:lineRule="exact"/>
              <w:rPr>
                <w:rFonts w:ascii="仿宋_GB2312" w:hAnsi="Aria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9138" w:type="dxa"/>
            <w:gridSpan w:val="5"/>
            <w:shd w:val="clear" w:color="auto" w:fill="auto"/>
          </w:tcPr>
          <w:p>
            <w:pPr>
              <w:spacing w:line="360" w:lineRule="auto"/>
              <w:rPr>
                <w:rFonts w:ascii="仿宋_GB2312" w:hAnsi="Arial" w:eastAsia="仿宋_GB2312"/>
                <w:bCs/>
                <w:sz w:val="24"/>
                <w:szCs w:val="24"/>
              </w:rPr>
            </w:pPr>
            <w:r>
              <w:rPr>
                <w:rFonts w:hint="eastAsia" w:ascii="仿宋_GB2312" w:hAnsi="Arial" w:eastAsia="仿宋_GB2312"/>
                <w:bCs/>
                <w:sz w:val="24"/>
                <w:szCs w:val="24"/>
              </w:rPr>
              <w:t>工作概要</w:t>
            </w:r>
          </w:p>
          <w:p>
            <w:pPr>
              <w:pStyle w:val="4"/>
              <w:numPr>
                <w:ilvl w:val="0"/>
                <w:numId w:val="3"/>
              </w:numPr>
              <w:spacing w:line="240" w:lineRule="auto"/>
              <w:ind w:left="527" w:leftChars="116" w:hanging="283" w:hangingChars="118"/>
              <w:rPr>
                <w:rFonts w:ascii="仿宋_GB2312" w:hAnsi="Arial" w:eastAsia="仿宋_GB2312" w:cs="Times New Roman"/>
                <w:sz w:val="24"/>
                <w:szCs w:val="24"/>
              </w:rPr>
            </w:pPr>
            <w:r>
              <w:rPr>
                <w:rFonts w:hint="eastAsia" w:ascii="仿宋_GB2312" w:hAnsi="Arial" w:eastAsia="仿宋_GB2312" w:cs="Times New Roman"/>
                <w:sz w:val="24"/>
                <w:szCs w:val="24"/>
              </w:rPr>
              <w:t>在部门总经理的安排下，完成基金公司系统的业务风险控制工作，确保基金业务合规开展和风险控制，建立健全基金风险控制体制机制，包括制度、流程、标准。</w:t>
            </w:r>
          </w:p>
          <w:p>
            <w:pPr>
              <w:pStyle w:val="4"/>
              <w:numPr>
                <w:ilvl w:val="0"/>
                <w:numId w:val="3"/>
              </w:numPr>
              <w:spacing w:line="240" w:lineRule="auto"/>
              <w:ind w:left="527" w:leftChars="116" w:hanging="283" w:hangingChars="118"/>
              <w:rPr>
                <w:rFonts w:ascii="仿宋_GB2312" w:hAnsi="Arial" w:eastAsia="仿宋_GB2312" w:cs="Times New Roman"/>
                <w:sz w:val="24"/>
                <w:szCs w:val="24"/>
              </w:rPr>
            </w:pPr>
            <w:r>
              <w:rPr>
                <w:rFonts w:hint="eastAsia" w:ascii="仿宋_GB2312" w:hAnsi="Arial" w:eastAsia="仿宋_GB2312" w:cs="Times New Roman"/>
                <w:sz w:val="24"/>
                <w:szCs w:val="24"/>
              </w:rPr>
              <w:t>归口负责所属公司（基金管理人公司、投资平台公司）的全面风险管理工作。</w:t>
            </w:r>
          </w:p>
          <w:p>
            <w:pPr>
              <w:pStyle w:val="4"/>
              <w:numPr>
                <w:ilvl w:val="0"/>
                <w:numId w:val="3"/>
              </w:numPr>
              <w:spacing w:line="240" w:lineRule="auto"/>
              <w:ind w:left="527" w:leftChars="116" w:hanging="283" w:hangingChars="118"/>
              <w:rPr>
                <w:rFonts w:ascii="仿宋_GB2312" w:hAnsi="Arial" w:eastAsia="仿宋_GB2312"/>
                <w:bCs/>
                <w:sz w:val="24"/>
                <w:szCs w:val="24"/>
              </w:rPr>
            </w:pPr>
            <w:r>
              <w:rPr>
                <w:rFonts w:hint="eastAsia" w:ascii="仿宋_GB2312" w:hAnsi="Arial" w:eastAsia="仿宋_GB2312" w:cs="Times New Roman"/>
                <w:sz w:val="24"/>
                <w:szCs w:val="24"/>
              </w:rPr>
              <w:t>具体实施基金公司全资子公司的风险管理实施工作。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138" w:type="dxa"/>
            <w:gridSpan w:val="5"/>
            <w:shd w:val="clear" w:color="auto" w:fill="D9D9D9"/>
          </w:tcPr>
          <w:p>
            <w:pPr>
              <w:spacing w:line="360" w:lineRule="auto"/>
              <w:rPr>
                <w:rFonts w:ascii="仿宋_GB2312" w:hAnsi="Arial" w:eastAsia="仿宋_GB2312"/>
                <w:bCs/>
                <w:sz w:val="24"/>
                <w:szCs w:val="24"/>
              </w:rPr>
            </w:pPr>
            <w:r>
              <w:rPr>
                <w:rFonts w:hint="eastAsia" w:ascii="仿宋_GB2312" w:hAnsi="Arial" w:eastAsia="仿宋_GB2312"/>
                <w:bCs/>
                <w:sz w:val="24"/>
                <w:szCs w:val="24"/>
              </w:rPr>
              <w:t>二、岗位职责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138" w:type="dxa"/>
            <w:gridSpan w:val="5"/>
            <w:shd w:val="clear" w:color="auto" w:fill="auto"/>
          </w:tcPr>
          <w:p>
            <w:pPr>
              <w:pStyle w:val="4"/>
              <w:numPr>
                <w:ilvl w:val="0"/>
                <w:numId w:val="4"/>
              </w:numPr>
              <w:spacing w:line="240" w:lineRule="auto"/>
              <w:ind w:left="526" w:hanging="242" w:firstLineChars="0"/>
              <w:rPr>
                <w:rFonts w:ascii="仿宋_GB2312" w:hAnsi="Arial" w:eastAsia="仿宋_GB2312" w:cs="Times New Roman"/>
                <w:sz w:val="24"/>
                <w:szCs w:val="24"/>
              </w:rPr>
            </w:pPr>
            <w:r>
              <w:rPr>
                <w:rFonts w:hint="eastAsia" w:ascii="仿宋_GB2312" w:hAnsi="Arial" w:eastAsia="仿宋_GB2312" w:cs="Times New Roman"/>
                <w:sz w:val="24"/>
                <w:szCs w:val="24"/>
              </w:rPr>
              <w:t>归口基金公司风险管理，完善风险管理体系，构建基金公司本部及所属基金管理人公司的整体风险管控模式，制定相应制度、流程、标准。</w:t>
            </w:r>
          </w:p>
          <w:p>
            <w:pPr>
              <w:pStyle w:val="4"/>
              <w:numPr>
                <w:ilvl w:val="0"/>
                <w:numId w:val="4"/>
              </w:numPr>
              <w:spacing w:line="240" w:lineRule="auto"/>
              <w:ind w:left="526" w:hanging="242" w:firstLineChars="0"/>
              <w:rPr>
                <w:rFonts w:ascii="仿宋_GB2312" w:hAnsi="Arial" w:eastAsia="仿宋_GB2312" w:cs="Times New Roman"/>
                <w:sz w:val="24"/>
                <w:szCs w:val="24"/>
              </w:rPr>
            </w:pPr>
            <w:r>
              <w:rPr>
                <w:rFonts w:hint="eastAsia" w:ascii="仿宋_GB2312" w:hAnsi="Arial" w:eastAsia="仿宋_GB2312" w:cs="Times New Roman"/>
                <w:sz w:val="24"/>
                <w:szCs w:val="24"/>
              </w:rPr>
              <w:t>开展风险管理执行情况评价并督促改进，组织年度风险评估。</w:t>
            </w:r>
          </w:p>
          <w:p>
            <w:pPr>
              <w:pStyle w:val="4"/>
              <w:numPr>
                <w:ilvl w:val="0"/>
                <w:numId w:val="4"/>
              </w:numPr>
              <w:spacing w:line="240" w:lineRule="auto"/>
              <w:ind w:left="526" w:hanging="242" w:firstLineChars="0"/>
              <w:rPr>
                <w:rFonts w:ascii="仿宋_GB2312" w:hAnsi="Arial" w:eastAsia="仿宋_GB2312" w:cs="Times New Roman"/>
                <w:sz w:val="24"/>
                <w:szCs w:val="24"/>
              </w:rPr>
            </w:pPr>
            <w:r>
              <w:rPr>
                <w:rFonts w:hint="eastAsia" w:ascii="仿宋_GB2312" w:hAnsi="Arial" w:eastAsia="仿宋_GB2312" w:cs="Times New Roman"/>
                <w:sz w:val="24"/>
                <w:szCs w:val="24"/>
              </w:rPr>
              <w:t>组织对风险进行定性和定量评估，改进风险管理方法、技术和模型，组织推动建立、持续优化风险管理信息系统。</w:t>
            </w:r>
          </w:p>
          <w:p>
            <w:pPr>
              <w:pStyle w:val="4"/>
              <w:numPr>
                <w:ilvl w:val="0"/>
                <w:numId w:val="4"/>
              </w:numPr>
              <w:spacing w:line="240" w:lineRule="auto"/>
              <w:ind w:left="526" w:hanging="242" w:firstLineChars="0"/>
              <w:rPr>
                <w:rFonts w:ascii="仿宋_GB2312" w:hAnsi="Arial" w:eastAsia="仿宋_GB2312" w:cs="Times New Roman"/>
                <w:sz w:val="24"/>
                <w:szCs w:val="24"/>
              </w:rPr>
            </w:pPr>
            <w:r>
              <w:rPr>
                <w:rFonts w:hint="eastAsia" w:ascii="仿宋_GB2312" w:hAnsi="Arial" w:eastAsia="仿宋_GB2312" w:cs="Times New Roman"/>
                <w:sz w:val="24"/>
                <w:szCs w:val="24"/>
              </w:rPr>
              <w:t>根据基金投资流程以及风险承受能力，通过事前审查、事中监控、事后检查等方式，定期或不定期对基金投资的市场风险、信用风险和流动性风险进行风险测量，提出风险防范和控制建议。</w:t>
            </w:r>
          </w:p>
          <w:p>
            <w:pPr>
              <w:pStyle w:val="4"/>
              <w:numPr>
                <w:ilvl w:val="0"/>
                <w:numId w:val="4"/>
              </w:numPr>
              <w:spacing w:line="240" w:lineRule="auto"/>
              <w:ind w:left="526" w:hanging="242" w:firstLineChars="0"/>
              <w:rPr>
                <w:rFonts w:ascii="仿宋_GB2312" w:hAnsi="Arial" w:eastAsia="仿宋_GB2312" w:cs="Times New Roman"/>
                <w:sz w:val="24"/>
                <w:szCs w:val="24"/>
              </w:rPr>
            </w:pPr>
            <w:r>
              <w:rPr>
                <w:rFonts w:hint="eastAsia" w:ascii="仿宋_GB2312" w:hAnsi="Arial" w:eastAsia="仿宋_GB2312" w:cs="Times New Roman"/>
                <w:sz w:val="24"/>
                <w:szCs w:val="24"/>
              </w:rPr>
              <w:t>督促相关部门落实公司风险管理制度，并组织对风险管理决策和风险管理制度执行情况进行检查、评估和报告。</w:t>
            </w:r>
          </w:p>
          <w:p>
            <w:pPr>
              <w:pStyle w:val="4"/>
              <w:numPr>
                <w:ilvl w:val="0"/>
                <w:numId w:val="4"/>
              </w:numPr>
              <w:spacing w:line="240" w:lineRule="auto"/>
              <w:ind w:left="526" w:hanging="242" w:firstLineChars="0"/>
              <w:rPr>
                <w:rFonts w:ascii="仿宋_GB2312" w:hAnsi="Arial" w:eastAsia="仿宋_GB2312" w:cs="Times New Roman"/>
                <w:sz w:val="24"/>
                <w:szCs w:val="24"/>
              </w:rPr>
            </w:pPr>
            <w:r>
              <w:rPr>
                <w:rFonts w:hint="eastAsia" w:ascii="仿宋_GB2312" w:hAnsi="Arial" w:eastAsia="仿宋_GB2312" w:cs="Times New Roman"/>
                <w:sz w:val="24"/>
                <w:szCs w:val="24"/>
              </w:rPr>
              <w:t>组织推动风险管理文化建设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25" w:hRule="atLeast"/>
          <w:jc w:val="center"/>
        </w:trPr>
        <w:tc>
          <w:tcPr>
            <w:tcW w:w="9138" w:type="dxa"/>
            <w:gridSpan w:val="5"/>
            <w:tcBorders>
              <w:bottom w:val="single" w:color="auto" w:sz="4" w:space="0"/>
            </w:tcBorders>
            <w:shd w:val="clear" w:color="auto" w:fill="D9D9D9"/>
            <w:vAlign w:val="center"/>
          </w:tcPr>
          <w:p>
            <w:pPr>
              <w:spacing w:line="360" w:lineRule="auto"/>
              <w:rPr>
                <w:rFonts w:ascii="仿宋_GB2312" w:hAnsi="Arial" w:eastAsia="仿宋_GB2312"/>
                <w:sz w:val="24"/>
                <w:szCs w:val="24"/>
              </w:rPr>
            </w:pPr>
            <w:r>
              <w:rPr>
                <w:rFonts w:hint="eastAsia" w:ascii="仿宋_GB2312" w:hAnsi="Arial" w:eastAsia="仿宋_GB2312"/>
                <w:bCs/>
                <w:sz w:val="24"/>
                <w:szCs w:val="24"/>
              </w:rPr>
              <w:t>三、工作关系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25" w:hRule="atLeast"/>
          <w:jc w:val="center"/>
        </w:trPr>
        <w:tc>
          <w:tcPr>
            <w:tcW w:w="1809" w:type="dxa"/>
            <w:gridSpan w:val="2"/>
            <w:shd w:val="clear" w:color="auto" w:fill="FFFFFF" w:themeFill="background1"/>
            <w:vAlign w:val="center"/>
          </w:tcPr>
          <w:p>
            <w:pPr>
              <w:spacing w:line="360" w:lineRule="auto"/>
              <w:jc w:val="center"/>
              <w:rPr>
                <w:rFonts w:ascii="仿宋_GB2312" w:hAnsi="Arial" w:eastAsia="仿宋_GB2312"/>
                <w:sz w:val="24"/>
                <w:szCs w:val="24"/>
              </w:rPr>
            </w:pPr>
            <w:r>
              <w:rPr>
                <w:rFonts w:hint="eastAsia" w:ascii="仿宋_GB2312" w:hAnsi="Arial" w:eastAsia="仿宋_GB2312"/>
                <w:sz w:val="24"/>
                <w:szCs w:val="24"/>
              </w:rPr>
              <w:t>内部协调关系</w:t>
            </w:r>
          </w:p>
        </w:tc>
        <w:tc>
          <w:tcPr>
            <w:tcW w:w="7329" w:type="dxa"/>
            <w:gridSpan w:val="3"/>
            <w:shd w:val="clear" w:color="auto" w:fill="FFFFFF" w:themeFill="background1"/>
            <w:vAlign w:val="center"/>
          </w:tcPr>
          <w:p>
            <w:pPr>
              <w:spacing w:before="78" w:beforeLines="25" w:after="78" w:afterLines="25"/>
              <w:rPr>
                <w:rFonts w:ascii="仿宋_GB2312" w:hAnsi="Arial" w:eastAsia="仿宋_GB2312"/>
                <w:sz w:val="24"/>
                <w:szCs w:val="24"/>
              </w:rPr>
            </w:pPr>
            <w:r>
              <w:rPr>
                <w:rFonts w:hint="eastAsia" w:ascii="仿宋_GB2312" w:hAnsi="Arial" w:eastAsia="仿宋_GB2312"/>
                <w:sz w:val="24"/>
                <w:szCs w:val="24"/>
              </w:rPr>
              <w:t>集团、公司各部门、子企业等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225" w:hRule="atLeast"/>
          <w:jc w:val="center"/>
        </w:trPr>
        <w:tc>
          <w:tcPr>
            <w:tcW w:w="1809" w:type="dxa"/>
            <w:gridSpan w:val="2"/>
            <w:shd w:val="clear" w:color="auto" w:fill="FFFFFF" w:themeFill="background1"/>
            <w:vAlign w:val="center"/>
          </w:tcPr>
          <w:p>
            <w:pPr>
              <w:spacing w:line="360" w:lineRule="auto"/>
              <w:jc w:val="center"/>
              <w:rPr>
                <w:rFonts w:ascii="仿宋_GB2312" w:hAnsi="Arial" w:eastAsia="仿宋_GB2312"/>
                <w:sz w:val="24"/>
                <w:szCs w:val="24"/>
              </w:rPr>
            </w:pPr>
            <w:r>
              <w:rPr>
                <w:rFonts w:hint="eastAsia" w:ascii="仿宋_GB2312" w:hAnsi="Arial" w:eastAsia="仿宋_GB2312"/>
                <w:sz w:val="24"/>
                <w:szCs w:val="24"/>
              </w:rPr>
              <w:t>外部协调关系</w:t>
            </w:r>
          </w:p>
        </w:tc>
        <w:tc>
          <w:tcPr>
            <w:tcW w:w="7329" w:type="dxa"/>
            <w:gridSpan w:val="3"/>
            <w:shd w:val="clear" w:color="auto" w:fill="FFFFFF" w:themeFill="background1"/>
            <w:vAlign w:val="center"/>
          </w:tcPr>
          <w:p>
            <w:pPr>
              <w:spacing w:before="78" w:beforeLines="25" w:after="78" w:afterLines="25"/>
              <w:rPr>
                <w:rFonts w:ascii="仿宋_GB2312" w:hAnsi="Arial" w:eastAsia="仿宋_GB2312"/>
                <w:sz w:val="24"/>
                <w:szCs w:val="24"/>
              </w:rPr>
            </w:pPr>
            <w:r>
              <w:rPr>
                <w:rFonts w:hint="eastAsia" w:ascii="仿宋_GB2312" w:hAnsi="Arial" w:eastAsia="仿宋_GB2312"/>
                <w:sz w:val="24"/>
                <w:szCs w:val="24"/>
              </w:rPr>
              <w:t>外部机构、政府主管机构等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138" w:type="dxa"/>
            <w:gridSpan w:val="5"/>
            <w:shd w:val="clear" w:color="auto" w:fill="D9D9D9"/>
          </w:tcPr>
          <w:p>
            <w:pPr>
              <w:spacing w:line="360" w:lineRule="auto"/>
              <w:rPr>
                <w:rFonts w:ascii="仿宋_GB2312" w:hAnsi="Arial" w:eastAsia="仿宋_GB2312"/>
                <w:bCs/>
                <w:sz w:val="24"/>
                <w:szCs w:val="24"/>
              </w:rPr>
            </w:pPr>
            <w:r>
              <w:rPr>
                <w:rFonts w:hint="eastAsia" w:ascii="仿宋_GB2312" w:hAnsi="Arial" w:eastAsia="仿宋_GB2312"/>
                <w:bCs/>
                <w:sz w:val="24"/>
                <w:szCs w:val="24"/>
              </w:rPr>
              <w:t>四、任职条件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138" w:type="dxa"/>
            <w:gridSpan w:val="5"/>
            <w:shd w:val="clear" w:color="auto" w:fill="auto"/>
            <w:vAlign w:val="center"/>
          </w:tcPr>
          <w:p>
            <w:pPr>
              <w:pStyle w:val="5"/>
              <w:keepNext w:val="0"/>
              <w:keepLines w:val="0"/>
              <w:pageBreakBefore w:val="0"/>
              <w:widowControl w:val="0"/>
              <w:tabs>
                <w:tab w:val="left" w:pos="640"/>
                <w:tab w:val="clear" w:pos="1120"/>
              </w:tabs>
              <w:kinsoku/>
              <w:wordWrap/>
              <w:overflowPunct/>
              <w:topLinePunct w:val="0"/>
              <w:autoSpaceDE/>
              <w:autoSpaceDN/>
              <w:bidi w:val="0"/>
              <w:adjustRightInd/>
              <w:snapToGrid/>
              <w:spacing w:line="240" w:lineRule="auto"/>
              <w:ind w:left="0" w:leftChars="0" w:firstLine="219" w:firstLineChars="91"/>
              <w:textAlignment w:val="auto"/>
              <w:rPr>
                <w:rFonts w:hint="eastAsia"/>
                <w:sz w:val="24"/>
                <w:szCs w:val="24"/>
              </w:rPr>
            </w:pPr>
            <w:r>
              <w:rPr>
                <w:rFonts w:hint="eastAsia"/>
                <w:sz w:val="24"/>
                <w:szCs w:val="24"/>
              </w:rPr>
              <w:t>必要条件：</w:t>
            </w:r>
          </w:p>
          <w:p>
            <w:pPr>
              <w:pStyle w:val="6"/>
              <w:keepNext w:val="0"/>
              <w:keepLines w:val="0"/>
              <w:pageBreakBefore w:val="0"/>
              <w:widowControl w:val="0"/>
              <w:numPr>
                <w:ilvl w:val="0"/>
                <w:numId w:val="5"/>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本科及以上学历，风险管理、法律、财经或金融类专业；</w:t>
            </w:r>
          </w:p>
          <w:p>
            <w:pPr>
              <w:pStyle w:val="6"/>
              <w:keepNext w:val="0"/>
              <w:keepLines w:val="0"/>
              <w:pageBreakBefore w:val="0"/>
              <w:widowControl w:val="0"/>
              <w:numPr>
                <w:ilvl w:val="0"/>
                <w:numId w:val="5"/>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10年以上金融投资相关工作经历，5年以上专职基金风险管理工作经历；</w:t>
            </w:r>
          </w:p>
          <w:p>
            <w:pPr>
              <w:pStyle w:val="6"/>
              <w:keepNext w:val="0"/>
              <w:keepLines w:val="0"/>
              <w:pageBreakBefore w:val="0"/>
              <w:widowControl w:val="0"/>
              <w:numPr>
                <w:ilvl w:val="0"/>
                <w:numId w:val="5"/>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拥有较强的领导力、管理能力和沟通表达能力；</w:t>
            </w:r>
          </w:p>
          <w:p>
            <w:pPr>
              <w:pStyle w:val="6"/>
              <w:keepNext w:val="0"/>
              <w:keepLines w:val="0"/>
              <w:pageBreakBefore w:val="0"/>
              <w:widowControl w:val="0"/>
              <w:numPr>
                <w:ilvl w:val="0"/>
                <w:numId w:val="5"/>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担任国有企业副处级职位，或担任正科级职位3年及以上工作经历，或在较大规模基金管理公司担任风险控制总监或风险控制部门负责人。</w:t>
            </w:r>
          </w:p>
          <w:p>
            <w:pPr>
              <w:pStyle w:val="6"/>
              <w:keepNext w:val="0"/>
              <w:keepLines w:val="0"/>
              <w:pageBreakBefore w:val="0"/>
              <w:widowControl w:val="0"/>
              <w:numPr>
                <w:ilvl w:val="0"/>
                <w:numId w:val="5"/>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中共正式党员。</w:t>
            </w:r>
          </w:p>
          <w:p>
            <w:pPr>
              <w:pStyle w:val="6"/>
              <w:keepNext w:val="0"/>
              <w:keepLines w:val="0"/>
              <w:pageBreakBefore w:val="0"/>
              <w:widowControl w:val="0"/>
              <w:numPr>
                <w:ilvl w:val="0"/>
                <w:numId w:val="5"/>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ascii="仿宋_GB2312" w:hAnsi="Arial" w:eastAsia="仿宋_GB2312"/>
                <w:sz w:val="24"/>
                <w:szCs w:val="24"/>
              </w:rPr>
            </w:pPr>
            <w:r>
              <w:rPr>
                <w:rFonts w:hint="eastAsia"/>
                <w:b w:val="0"/>
                <w:bCs/>
                <w:sz w:val="24"/>
                <w:szCs w:val="24"/>
                <w:lang w:val="en-US" w:eastAsia="zh-CN"/>
              </w:rPr>
              <w:t>基金风险管理经验特别丰富、业绩能力特别突出者可适当放宽条件。</w:t>
            </w:r>
          </w:p>
          <w:p>
            <w:pPr>
              <w:pStyle w:val="5"/>
              <w:keepNext w:val="0"/>
              <w:keepLines w:val="0"/>
              <w:pageBreakBefore w:val="0"/>
              <w:widowControl w:val="0"/>
              <w:tabs>
                <w:tab w:val="left" w:pos="640"/>
                <w:tab w:val="clear" w:pos="1120"/>
              </w:tabs>
              <w:kinsoku/>
              <w:wordWrap/>
              <w:overflowPunct/>
              <w:topLinePunct w:val="0"/>
              <w:autoSpaceDE/>
              <w:autoSpaceDN/>
              <w:bidi w:val="0"/>
              <w:adjustRightInd/>
              <w:snapToGrid/>
              <w:spacing w:line="240" w:lineRule="auto"/>
              <w:ind w:left="0" w:leftChars="0" w:firstLine="219" w:firstLineChars="91"/>
              <w:textAlignment w:val="auto"/>
              <w:rPr>
                <w:sz w:val="24"/>
                <w:szCs w:val="24"/>
              </w:rPr>
            </w:pPr>
            <w:r>
              <w:rPr>
                <w:rFonts w:hint="eastAsia"/>
                <w:sz w:val="24"/>
                <w:szCs w:val="24"/>
              </w:rPr>
              <w:t>否定条件：</w:t>
            </w:r>
          </w:p>
          <w:p>
            <w:pPr>
              <w:pStyle w:val="6"/>
              <w:keepNext w:val="0"/>
              <w:keepLines w:val="0"/>
              <w:pageBreakBefore w:val="0"/>
              <w:widowControl w:val="0"/>
              <w:numPr>
                <w:ilvl w:val="0"/>
                <w:numId w:val="6"/>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曾被司法机关或原单位纪检、监察部门认定违法违纪的；</w:t>
            </w:r>
          </w:p>
          <w:p>
            <w:pPr>
              <w:pStyle w:val="6"/>
              <w:keepNext w:val="0"/>
              <w:keepLines w:val="0"/>
              <w:pageBreakBefore w:val="0"/>
              <w:widowControl w:val="0"/>
              <w:numPr>
                <w:ilvl w:val="0"/>
                <w:numId w:val="6"/>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配偶已移居国（境）外，或者没有配偶但子女均已移居国（境）外的；</w:t>
            </w:r>
          </w:p>
          <w:p>
            <w:pPr>
              <w:pStyle w:val="6"/>
              <w:keepNext w:val="0"/>
              <w:keepLines w:val="0"/>
              <w:pageBreakBefore w:val="0"/>
              <w:widowControl w:val="0"/>
              <w:numPr>
                <w:ilvl w:val="0"/>
                <w:numId w:val="6"/>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hint="eastAsia"/>
                <w:b w:val="0"/>
                <w:bCs/>
                <w:sz w:val="24"/>
                <w:szCs w:val="24"/>
                <w:lang w:val="en-US" w:eastAsia="zh-CN"/>
              </w:rPr>
            </w:pPr>
            <w:r>
              <w:rPr>
                <w:rFonts w:hint="eastAsia"/>
                <w:b w:val="0"/>
                <w:bCs/>
                <w:sz w:val="24"/>
                <w:szCs w:val="24"/>
                <w:lang w:val="en-US" w:eastAsia="zh-CN"/>
              </w:rPr>
              <w:t>受到诫勉、组织处理或者党纪政务处分等，影响期未满或者期满影响使用的；</w:t>
            </w:r>
          </w:p>
          <w:p>
            <w:pPr>
              <w:pStyle w:val="6"/>
              <w:keepNext w:val="0"/>
              <w:keepLines w:val="0"/>
              <w:pageBreakBefore w:val="0"/>
              <w:widowControl w:val="0"/>
              <w:numPr>
                <w:ilvl w:val="0"/>
                <w:numId w:val="6"/>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ascii="仿宋_GB2312" w:hAnsi="Arial" w:eastAsia="仿宋_GB2312"/>
                <w:sz w:val="24"/>
                <w:szCs w:val="24"/>
              </w:rPr>
            </w:pPr>
            <w:r>
              <w:rPr>
                <w:rFonts w:hint="eastAsia"/>
                <w:b w:val="0"/>
                <w:bCs/>
                <w:sz w:val="24"/>
                <w:szCs w:val="24"/>
                <w:lang w:val="en-US" w:eastAsia="zh-CN"/>
              </w:rPr>
              <w:t>有不良信用记录或触犯法律、行政法规、行业监管机构以及其他禁止性条件的；</w:t>
            </w:r>
          </w:p>
          <w:p>
            <w:pPr>
              <w:pStyle w:val="6"/>
              <w:keepNext w:val="0"/>
              <w:keepLines w:val="0"/>
              <w:pageBreakBefore w:val="0"/>
              <w:widowControl w:val="0"/>
              <w:numPr>
                <w:ilvl w:val="0"/>
                <w:numId w:val="6"/>
              </w:numPr>
              <w:tabs>
                <w:tab w:val="left" w:pos="640"/>
                <w:tab w:val="left" w:pos="1280"/>
              </w:tabs>
              <w:kinsoku/>
              <w:wordWrap/>
              <w:overflowPunct/>
              <w:topLinePunct w:val="0"/>
              <w:autoSpaceDE/>
              <w:autoSpaceDN/>
              <w:bidi w:val="0"/>
              <w:adjustRightInd/>
              <w:snapToGrid/>
              <w:spacing w:line="240" w:lineRule="auto"/>
              <w:ind w:left="0" w:leftChars="0" w:firstLine="218" w:firstLineChars="91"/>
              <w:textAlignment w:val="auto"/>
              <w:rPr>
                <w:rFonts w:ascii="仿宋_GB2312" w:hAnsi="Arial" w:eastAsia="仿宋_GB2312"/>
                <w:sz w:val="24"/>
                <w:szCs w:val="24"/>
              </w:rPr>
            </w:pPr>
            <w:bookmarkStart w:id="1" w:name="_GoBack"/>
            <w:bookmarkEnd w:id="1"/>
            <w:r>
              <w:rPr>
                <w:rFonts w:hint="eastAsia"/>
                <w:b w:val="0"/>
                <w:bCs/>
                <w:sz w:val="24"/>
                <w:szCs w:val="24"/>
                <w:lang w:val="en-US" w:eastAsia="zh-CN"/>
              </w:rPr>
              <w:t>原单位近三年考核结果有“不称职”等次的。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138" w:type="dxa"/>
            <w:gridSpan w:val="5"/>
            <w:shd w:val="clear" w:color="auto" w:fill="D9D9D9"/>
            <w:vAlign w:val="center"/>
          </w:tcPr>
          <w:p>
            <w:pPr>
              <w:spacing w:line="360" w:lineRule="auto"/>
              <w:rPr>
                <w:rFonts w:ascii="仿宋_GB2312" w:hAnsi="Arial" w:eastAsia="仿宋_GB2312"/>
                <w:bCs/>
                <w:sz w:val="24"/>
                <w:szCs w:val="24"/>
              </w:rPr>
            </w:pPr>
            <w:r>
              <w:rPr>
                <w:rFonts w:hint="eastAsia" w:ascii="仿宋_GB2312" w:hAnsi="Arial" w:eastAsia="仿宋_GB2312"/>
                <w:bCs/>
                <w:sz w:val="24"/>
                <w:szCs w:val="24"/>
              </w:rPr>
              <w:t>五、工作特征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09" w:type="dxa"/>
            <w:gridSpan w:val="2"/>
            <w:shd w:val="clear" w:color="auto" w:fill="auto"/>
          </w:tcPr>
          <w:p>
            <w:pPr>
              <w:spacing w:line="360" w:lineRule="auto"/>
              <w:jc w:val="center"/>
              <w:rPr>
                <w:rFonts w:ascii="仿宋_GB2312" w:hAnsi="Arial" w:eastAsia="仿宋_GB2312"/>
                <w:bCs/>
                <w:sz w:val="24"/>
                <w:szCs w:val="24"/>
              </w:rPr>
            </w:pPr>
            <w:r>
              <w:rPr>
                <w:rFonts w:hint="eastAsia" w:ascii="仿宋_GB2312" w:hAnsi="Arial" w:eastAsia="仿宋_GB2312"/>
                <w:bCs/>
                <w:sz w:val="24"/>
                <w:szCs w:val="24"/>
              </w:rPr>
              <w:t>工作强度分布</w:t>
            </w:r>
          </w:p>
        </w:tc>
        <w:tc>
          <w:tcPr>
            <w:tcW w:w="7329" w:type="dxa"/>
            <w:gridSpan w:val="3"/>
            <w:shd w:val="clear" w:color="auto" w:fill="auto"/>
            <w:vAlign w:val="center"/>
          </w:tcPr>
          <w:p>
            <w:pPr>
              <w:spacing w:before="78" w:beforeLines="25" w:after="78" w:afterLines="25"/>
              <w:rPr>
                <w:rFonts w:ascii="仿宋_GB2312" w:hAnsi="Arial" w:eastAsia="仿宋_GB2312"/>
                <w:sz w:val="24"/>
                <w:szCs w:val="24"/>
              </w:rPr>
            </w:pPr>
            <w:r>
              <w:rPr>
                <w:rFonts w:hint="eastAsia" w:ascii="仿宋_GB2312" w:hAnsi="Arial" w:eastAsia="仿宋_GB2312"/>
                <w:sz w:val="24"/>
                <w:szCs w:val="24"/>
              </w:rPr>
              <w:t>工作较为饱满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09" w:type="dxa"/>
            <w:gridSpan w:val="2"/>
            <w:shd w:val="clear" w:color="auto" w:fill="auto"/>
          </w:tcPr>
          <w:p>
            <w:pPr>
              <w:spacing w:line="360" w:lineRule="auto"/>
              <w:jc w:val="center"/>
              <w:rPr>
                <w:rFonts w:ascii="仿宋_GB2312" w:hAnsi="Arial" w:eastAsia="仿宋_GB2312"/>
                <w:bCs/>
                <w:sz w:val="24"/>
                <w:szCs w:val="24"/>
              </w:rPr>
            </w:pPr>
            <w:r>
              <w:rPr>
                <w:rFonts w:hint="eastAsia" w:ascii="仿宋_GB2312" w:hAnsi="Arial" w:eastAsia="仿宋_GB2312"/>
                <w:bCs/>
                <w:sz w:val="24"/>
                <w:szCs w:val="24"/>
              </w:rPr>
              <w:t>工作环境</w:t>
            </w:r>
          </w:p>
        </w:tc>
        <w:tc>
          <w:tcPr>
            <w:tcW w:w="7329" w:type="dxa"/>
            <w:gridSpan w:val="3"/>
            <w:shd w:val="clear" w:color="auto" w:fill="auto"/>
            <w:vAlign w:val="center"/>
          </w:tcPr>
          <w:p>
            <w:pPr>
              <w:spacing w:before="78" w:beforeLines="25" w:after="78" w:afterLines="25"/>
              <w:rPr>
                <w:rFonts w:ascii="仿宋_GB2312" w:hAnsi="Arial" w:eastAsia="仿宋_GB2312"/>
                <w:sz w:val="24"/>
                <w:szCs w:val="24"/>
              </w:rPr>
            </w:pPr>
            <w:r>
              <w:rPr>
                <w:rFonts w:hint="eastAsia" w:ascii="仿宋_GB2312" w:hAnsi="Arial" w:eastAsia="仿宋_GB2312"/>
                <w:sz w:val="24"/>
                <w:szCs w:val="24"/>
              </w:rPr>
              <w:t>以办公室工作为主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138" w:type="dxa"/>
            <w:gridSpan w:val="5"/>
            <w:shd w:val="clear" w:color="auto" w:fill="auto"/>
          </w:tcPr>
          <w:p>
            <w:pPr>
              <w:spacing w:line="360" w:lineRule="auto"/>
              <w:jc w:val="left"/>
              <w:rPr>
                <w:rFonts w:ascii="仿宋_GB2312" w:hAnsi="Arial" w:eastAsia="仿宋_GB2312"/>
                <w:bCs/>
                <w:sz w:val="24"/>
                <w:szCs w:val="24"/>
              </w:rPr>
            </w:pPr>
            <w:r>
              <w:rPr>
                <w:rFonts w:hint="eastAsia" w:ascii="仿宋_GB2312" w:hAnsi="Arial" w:eastAsia="仿宋_GB2312"/>
                <w:bCs/>
                <w:sz w:val="24"/>
                <w:szCs w:val="24"/>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336"/>
    <w:multiLevelType w:val="multilevel"/>
    <w:tmpl w:val="1B0C5336"/>
    <w:lvl w:ilvl="0" w:tentative="0">
      <w:start w:val="1"/>
      <w:numFmt w:val="decimal"/>
      <w:pStyle w:val="5"/>
      <w:lvlText w:val="%1."/>
      <w:lvlJc w:val="left"/>
      <w:pPr>
        <w:tabs>
          <w:tab w:val="left" w:pos="1120"/>
        </w:tabs>
        <w:ind w:left="0" w:firstLine="640"/>
      </w:pPr>
      <w:rPr>
        <w:rFonts w:hint="eastAsia"/>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
    <w:nsid w:val="1C546855"/>
    <w:multiLevelType w:val="multilevel"/>
    <w:tmpl w:val="1C546855"/>
    <w:lvl w:ilvl="0" w:tentative="0">
      <w:start w:val="1"/>
      <w:numFmt w:val="decimal"/>
      <w:suff w:val="nothing"/>
      <w:lvlText w:val="%1."/>
      <w:lvlJc w:val="left"/>
      <w:pPr>
        <w:ind w:left="704" w:hanging="420"/>
      </w:pPr>
      <w:rPr>
        <w:rFonts w:hint="eastAsia"/>
        <w:b w:val="0"/>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429478AE"/>
    <w:multiLevelType w:val="multilevel"/>
    <w:tmpl w:val="429478AE"/>
    <w:lvl w:ilvl="0" w:tentative="0">
      <w:start w:val="1"/>
      <w:numFmt w:val="decimal"/>
      <w:suff w:val="nothing"/>
      <w:lvlText w:val="%1."/>
      <w:lvlJc w:val="left"/>
      <w:pPr>
        <w:ind w:left="704" w:hanging="420"/>
      </w:pPr>
      <w:rPr>
        <w:rFonts w:hint="eastAsia"/>
        <w:b w:val="0"/>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4571406C"/>
    <w:multiLevelType w:val="multilevel"/>
    <w:tmpl w:val="4571406C"/>
    <w:lvl w:ilvl="0" w:tentative="0">
      <w:start w:val="1"/>
      <w:numFmt w:val="decimal"/>
      <w:pStyle w:val="6"/>
      <w:lvlText w:val="(%1)"/>
      <w:lvlJc w:val="left"/>
      <w:pPr>
        <w:tabs>
          <w:tab w:val="left" w:pos="1280"/>
        </w:tabs>
        <w:ind w:left="0" w:firstLine="643"/>
      </w:pPr>
      <w:rPr>
        <w:rFonts w:hint="eastAsia"/>
      </w:rPr>
    </w:lvl>
    <w:lvl w:ilvl="1" w:tentative="0">
      <w:start w:val="1"/>
      <w:numFmt w:val="lowerLetter"/>
      <w:lvlText w:val="%2)"/>
      <w:lvlJc w:val="left"/>
      <w:pPr>
        <w:ind w:left="1483" w:hanging="420"/>
      </w:pPr>
      <w:rPr>
        <w:rFonts w:hint="eastAsia"/>
      </w:rPr>
    </w:lvl>
    <w:lvl w:ilvl="2" w:tentative="0">
      <w:start w:val="1"/>
      <w:numFmt w:val="lowerRoman"/>
      <w:lvlText w:val="%3."/>
      <w:lvlJc w:val="right"/>
      <w:pPr>
        <w:ind w:left="1903" w:hanging="420"/>
      </w:pPr>
      <w:rPr>
        <w:rFonts w:hint="eastAsia"/>
      </w:rPr>
    </w:lvl>
    <w:lvl w:ilvl="3" w:tentative="0">
      <w:start w:val="1"/>
      <w:numFmt w:val="decimal"/>
      <w:lvlText w:val="%4."/>
      <w:lvlJc w:val="left"/>
      <w:pPr>
        <w:ind w:left="2323" w:hanging="420"/>
      </w:pPr>
      <w:rPr>
        <w:rFonts w:hint="eastAsia"/>
      </w:rPr>
    </w:lvl>
    <w:lvl w:ilvl="4" w:tentative="0">
      <w:start w:val="1"/>
      <w:numFmt w:val="lowerLetter"/>
      <w:lvlText w:val="%5)"/>
      <w:lvlJc w:val="left"/>
      <w:pPr>
        <w:ind w:left="2743" w:hanging="420"/>
      </w:pPr>
      <w:rPr>
        <w:rFonts w:hint="eastAsia"/>
      </w:rPr>
    </w:lvl>
    <w:lvl w:ilvl="5" w:tentative="0">
      <w:start w:val="1"/>
      <w:numFmt w:val="lowerRoman"/>
      <w:lvlText w:val="%6."/>
      <w:lvlJc w:val="right"/>
      <w:pPr>
        <w:ind w:left="3163" w:hanging="420"/>
      </w:pPr>
      <w:rPr>
        <w:rFonts w:hint="eastAsia"/>
      </w:rPr>
    </w:lvl>
    <w:lvl w:ilvl="6" w:tentative="0">
      <w:start w:val="1"/>
      <w:numFmt w:val="decimal"/>
      <w:lvlText w:val="%7."/>
      <w:lvlJc w:val="left"/>
      <w:pPr>
        <w:ind w:left="3583" w:hanging="420"/>
      </w:pPr>
      <w:rPr>
        <w:rFonts w:hint="eastAsia"/>
      </w:rPr>
    </w:lvl>
    <w:lvl w:ilvl="7" w:tentative="0">
      <w:start w:val="1"/>
      <w:numFmt w:val="lowerLetter"/>
      <w:lvlText w:val="%8)"/>
      <w:lvlJc w:val="left"/>
      <w:pPr>
        <w:ind w:left="4003" w:hanging="420"/>
      </w:pPr>
      <w:rPr>
        <w:rFonts w:hint="eastAsia"/>
      </w:rPr>
    </w:lvl>
    <w:lvl w:ilvl="8" w:tentative="0">
      <w:start w:val="1"/>
      <w:numFmt w:val="lowerRoman"/>
      <w:lvlText w:val="%9."/>
      <w:lvlJc w:val="right"/>
      <w:pPr>
        <w:ind w:left="4423" w:hanging="420"/>
      </w:pPr>
      <w:rPr>
        <w:rFonts w:hint="eastAsia"/>
      </w:rPr>
    </w:lvl>
  </w:abstractNum>
  <w:num w:numId="1">
    <w:abstractNumId w:val="0"/>
  </w:num>
  <w:num w:numId="2">
    <w:abstractNumId w:val="3"/>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94B95"/>
    <w:rsid w:val="000D2A85"/>
    <w:rsid w:val="00143DE3"/>
    <w:rsid w:val="002C4615"/>
    <w:rsid w:val="002C6516"/>
    <w:rsid w:val="0031604B"/>
    <w:rsid w:val="00392C6A"/>
    <w:rsid w:val="005E4134"/>
    <w:rsid w:val="00667428"/>
    <w:rsid w:val="006864EF"/>
    <w:rsid w:val="006D15D2"/>
    <w:rsid w:val="00816004"/>
    <w:rsid w:val="008C0B0F"/>
    <w:rsid w:val="008E410C"/>
    <w:rsid w:val="00924F72"/>
    <w:rsid w:val="009300AE"/>
    <w:rsid w:val="00B52823"/>
    <w:rsid w:val="00B772E0"/>
    <w:rsid w:val="00C6174C"/>
    <w:rsid w:val="00CE5CB3"/>
    <w:rsid w:val="00EE56F7"/>
    <w:rsid w:val="00FD6329"/>
    <w:rsid w:val="599661ED"/>
    <w:rsid w:val="59A94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列出段落11"/>
    <w:basedOn w:val="1"/>
    <w:qFormat/>
    <w:uiPriority w:val="34"/>
    <w:pPr>
      <w:spacing w:line="600" w:lineRule="atLeast"/>
      <w:ind w:firstLine="420" w:firstLineChars="200"/>
    </w:pPr>
    <w:rPr>
      <w:rFonts w:eastAsia="华文细黑" w:asciiTheme="minorHAnsi" w:hAnsiTheme="minorHAnsi" w:cstheme="minorBidi"/>
      <w:sz w:val="32"/>
    </w:rPr>
  </w:style>
  <w:style w:type="paragraph" w:customStyle="1" w:styleId="5">
    <w:name w:val="3级标题"/>
    <w:basedOn w:val="1"/>
    <w:qFormat/>
    <w:uiPriority w:val="0"/>
    <w:pPr>
      <w:numPr>
        <w:ilvl w:val="0"/>
        <w:numId w:val="1"/>
      </w:numPr>
      <w:spacing w:line="578" w:lineRule="exact"/>
      <w:ind w:firstLine="641"/>
      <w:outlineLvl w:val="2"/>
    </w:pPr>
    <w:rPr>
      <w:rFonts w:ascii="仿宋_GB2312" w:eastAsia="仿宋_GB2312"/>
      <w:b/>
      <w:sz w:val="32"/>
      <w:szCs w:val="32"/>
    </w:rPr>
  </w:style>
  <w:style w:type="paragraph" w:customStyle="1" w:styleId="6">
    <w:name w:val="4级标题"/>
    <w:basedOn w:val="1"/>
    <w:qFormat/>
    <w:uiPriority w:val="0"/>
    <w:pPr>
      <w:numPr>
        <w:ilvl w:val="0"/>
        <w:numId w:val="2"/>
      </w:numPr>
      <w:spacing w:line="578" w:lineRule="exact"/>
      <w:ind w:firstLine="641"/>
      <w:outlineLvl w:val="3"/>
    </w:pPr>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Words>
  <Characters>699</Characters>
  <Lines>5</Lines>
  <Paragraphs>1</Paragraphs>
  <TotalTime>0</TotalTime>
  <ScaleCrop>false</ScaleCrop>
  <LinksUpToDate>false</LinksUpToDate>
  <CharactersWithSpaces>820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2021-03-08T05:19:00Z</dcterms:created>
  <dc:creator>马庚辰</dc:creator>
  <cp:lastModifiedBy>马庚辰</cp:lastModifiedBy>
  <dcterms:modified xsi:type="dcterms:W3CDTF">2021-03-09T06:38:18Z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