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</w:pPr>
      <w:bookmarkStart w:id="0" w:name="_Toc11594398"/>
      <w:r>
        <w:rPr>
          <w:rFonts w:hint="eastAsia"/>
        </w:rPr>
        <w:t>岗位说明书</w:t>
      </w:r>
      <w:bookmarkEnd w:id="0"/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jc w:val="center"/>
            </w:pPr>
            <w:r>
              <w:rPr>
                <w:rFonts w:hint="eastAsia"/>
              </w:rPr>
              <w:t>岗</w:t>
            </w:r>
            <w:r>
              <w:t>位名称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投资经理（资产并购方向</w:t>
            </w:r>
            <w:r>
              <w:rPr>
                <w:rFonts w:hint="eastAsia"/>
                <w:lang w:eastAsia="zh-CN"/>
              </w:rPr>
              <w:t>）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jc w:val="center"/>
            </w:pPr>
            <w:r>
              <w:rPr>
                <w:rFonts w:hint="eastAsia"/>
              </w:rPr>
              <w:t>直接上级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2"/>
            </w:pPr>
            <w:r>
              <w:t>1</w:t>
            </w:r>
            <w:r>
              <w:rPr>
                <w:rFonts w:hint="eastAsia"/>
              </w:rPr>
              <w:t>、负责光伏、风电等新能源项目的投资工作，包括尽职调查、交易结构设计、估值分析、投后管理等；</w:t>
            </w:r>
          </w:p>
          <w:p>
            <w:pPr>
              <w:pStyle w:val="22"/>
            </w:pPr>
            <w:r>
              <w:t>2</w:t>
            </w:r>
            <w:r>
              <w:rPr>
                <w:rFonts w:hint="eastAsia"/>
              </w:rPr>
              <w:t>、负责行业分析、产业政策跟踪、市场研究等工作，形成相关研究报告；</w:t>
            </w:r>
          </w:p>
          <w:p>
            <w:pPr>
              <w:pStyle w:val="22"/>
            </w:pPr>
            <w:r>
              <w:t>3</w:t>
            </w:r>
            <w:r>
              <w:rPr>
                <w:rFonts w:hint="eastAsia"/>
              </w:rPr>
              <w:t>、配合开展基金募集工作，协助开展产业集团、上市公司、政府引导及母基金、金融机构等资金资源开拓，协助基金募集、产品及方案设计工作；</w:t>
            </w:r>
          </w:p>
          <w:p>
            <w:pPr>
              <w:pStyle w:val="22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、领导交办的其他工作。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D9D9D9"/>
            <w:vAlign w:val="center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5"/>
              </w:numPr>
              <w:tabs>
                <w:tab w:val="clear" w:pos="1120"/>
              </w:tabs>
            </w:pPr>
            <w:r>
              <w:rPr>
                <w:rFonts w:hint="eastAsia"/>
              </w:rPr>
              <w:t>必要条件：</w:t>
            </w:r>
          </w:p>
          <w:p>
            <w:pPr>
              <w:pStyle w:val="24"/>
              <w:numPr>
                <w:ilvl w:val="0"/>
                <w:numId w:val="0"/>
              </w:numPr>
              <w:ind w:firstLine="641"/>
              <w:rPr>
                <w:rFonts w:hint="default" w:eastAsia="仿宋_GB2312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</w:rPr>
              <w:t>（1）985/211院校或境外知名高校(QS前100)本科（含）以上学历，大学本科毕业累计工龄满</w:t>
            </w:r>
            <w:r>
              <w:rPr>
                <w:b w:val="0"/>
                <w:bCs/>
              </w:rPr>
              <w:t>4</w:t>
            </w:r>
            <w:r>
              <w:rPr>
                <w:rFonts w:hint="eastAsia"/>
                <w:b w:val="0"/>
                <w:bCs/>
              </w:rPr>
              <w:t>年、硕士研究生毕业或取得硕士学位累计工龄满</w:t>
            </w:r>
            <w:r>
              <w:rPr>
                <w:b w:val="0"/>
                <w:bCs/>
              </w:rPr>
              <w:t>2</w:t>
            </w:r>
            <w:r>
              <w:rPr>
                <w:rFonts w:hint="eastAsia"/>
                <w:b w:val="0"/>
                <w:bCs/>
              </w:rPr>
              <w:t>年。金融、经济、管理、会计、财务管理或法律类相关专业，理工科复合专业背景、有CFA、CPA、法律职业资格、FRM等相关证书者优先。</w:t>
            </w:r>
            <w:r>
              <w:rPr>
                <w:rFonts w:hint="eastAsia"/>
                <w:b w:val="0"/>
                <w:bCs/>
                <w:lang w:val="en-US" w:eastAsia="zh-CN"/>
              </w:rPr>
              <w:t>特别优秀者可适当放宽条件。</w:t>
            </w:r>
          </w:p>
          <w:p>
            <w:pPr>
              <w:pStyle w:val="24"/>
              <w:numPr>
                <w:ilvl w:val="0"/>
                <w:numId w:val="0"/>
              </w:numPr>
              <w:ind w:firstLine="6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（2）具有知名私募股权基金、投资银行、券商研究/自营投资、信托公司、商业银行、保险资管、会计师事务所、律师事务所、公募基金及基金子公司工作经验；具有清洁能源投资、运营管理经验优先。</w:t>
            </w:r>
          </w:p>
          <w:p>
            <w:pPr>
              <w:snapToGrid w:val="0"/>
              <w:spacing w:line="600" w:lineRule="exact"/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3）熟练掌握基金项目投资、财务建模、项目估值、股权融资、并购重组、项目管理等相关业务领域知识技能；熟悉相关法律法规和政策，具备较强的风险防范能力，了解投资过程中涉及的各类投资风险，熟悉尽职调查、交易结构设计、商务谈判、项目执行等实际操作流程。</w:t>
            </w:r>
          </w:p>
          <w:p>
            <w:pPr>
              <w:snapToGrid w:val="0"/>
              <w:spacing w:line="600" w:lineRule="exact"/>
              <w:ind w:firstLine="640" w:firstLineChars="200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（4）身体健康、积极向上，拥有良好的组织协调与管理能力、逻辑思维和沟通表达能力、开拓创新能力。具有良好的职业操守和敬业精神，作风正派，吃苦耐劳，严于律己，廉洁奉公。</w:t>
            </w:r>
          </w:p>
          <w:p>
            <w:pPr>
              <w:pStyle w:val="20"/>
              <w:tabs>
                <w:tab w:val="clear" w:pos="1120"/>
              </w:tabs>
              <w:ind w:firstLine="641"/>
            </w:pPr>
            <w:r>
              <w:rPr>
                <w:rFonts w:hint="eastAsia"/>
              </w:rPr>
              <w:t>否定条件：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曾被司法机关或原单位纪检、监察部门认定违法违纪的；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配偶已移居国（境）外，或者没有配偶但子女均已移居国（境）外的；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受到诫勉、组织处理或者党纪政务处分等，影响期未满或者期满影响使用的；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有不良信用记录或触犯法律、行政法规、行业监管机构以及其他禁止性条件的；</w:t>
            </w:r>
          </w:p>
          <w:p>
            <w:pPr>
              <w:pStyle w:val="24"/>
              <w:numPr>
                <w:ilvl w:val="0"/>
                <w:numId w:val="6"/>
              </w:numPr>
            </w:pPr>
            <w:r>
              <w:rPr>
                <w:rFonts w:hint="eastAsia"/>
                <w:b w:val="0"/>
                <w:bCs/>
              </w:rPr>
              <w:t>原单位近三年考核结果有“不称职”等次的。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sz w:val="28"/>
      </w:rPr>
    </w:pPr>
    <w:r>
      <w:rPr>
        <w:rFonts w:hint="eastAsia"/>
        <w:sz w:val="28"/>
      </w:rPr>
      <w:t>附件1：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5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0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71406C"/>
    <w:multiLevelType w:val="multilevel"/>
    <w:tmpl w:val="4571406C"/>
    <w:lvl w:ilvl="0" w:tentative="0">
      <w:start w:val="1"/>
      <w:numFmt w:val="decimal"/>
      <w:pStyle w:val="24"/>
      <w:lvlText w:val="(%1)"/>
      <w:lvlJc w:val="left"/>
      <w:pPr>
        <w:tabs>
          <w:tab w:val="left" w:pos="1280"/>
        </w:tabs>
        <w:ind w:left="0" w:firstLine="643"/>
      </w:pPr>
      <w:rPr>
        <w:rFonts w:hint="eastAsia"/>
        <w:b w:val="0"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17"/>
        <w:lvlText w:val="(%1)"/>
        <w:lvlJc w:val="left"/>
        <w:pPr>
          <w:tabs>
            <w:tab w:val="left" w:pos="1440"/>
          </w:tabs>
          <w:ind w:left="0" w:firstLine="643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shd w:val="clear" w:color="000000" w:fill="000000"/>
          <w:vertAlign w:val="baseline"/>
          <w:lang w:val="zh-CN" w:eastAsia="zh-CN"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6"/>
    <w:rsid w:val="00003C24"/>
    <w:rsid w:val="000065BC"/>
    <w:rsid w:val="0000797C"/>
    <w:rsid w:val="00031DC9"/>
    <w:rsid w:val="00050125"/>
    <w:rsid w:val="00050630"/>
    <w:rsid w:val="00070FF6"/>
    <w:rsid w:val="00074042"/>
    <w:rsid w:val="000758E0"/>
    <w:rsid w:val="000A179A"/>
    <w:rsid w:val="000A2715"/>
    <w:rsid w:val="000C3F90"/>
    <w:rsid w:val="000D59CA"/>
    <w:rsid w:val="000E4A6D"/>
    <w:rsid w:val="000E5070"/>
    <w:rsid w:val="000F126D"/>
    <w:rsid w:val="00111B81"/>
    <w:rsid w:val="001673F4"/>
    <w:rsid w:val="0018470F"/>
    <w:rsid w:val="00186A7A"/>
    <w:rsid w:val="001C3358"/>
    <w:rsid w:val="001D7795"/>
    <w:rsid w:val="00200CC5"/>
    <w:rsid w:val="00204300"/>
    <w:rsid w:val="00213EA4"/>
    <w:rsid w:val="00230AED"/>
    <w:rsid w:val="0023349B"/>
    <w:rsid w:val="002374E6"/>
    <w:rsid w:val="00243F4A"/>
    <w:rsid w:val="00252333"/>
    <w:rsid w:val="00263E46"/>
    <w:rsid w:val="00282EF3"/>
    <w:rsid w:val="002A4F0E"/>
    <w:rsid w:val="002C3074"/>
    <w:rsid w:val="002C6592"/>
    <w:rsid w:val="002D1F34"/>
    <w:rsid w:val="002E2DF3"/>
    <w:rsid w:val="003154BE"/>
    <w:rsid w:val="00350E76"/>
    <w:rsid w:val="003618B5"/>
    <w:rsid w:val="0036612E"/>
    <w:rsid w:val="00372329"/>
    <w:rsid w:val="00373D98"/>
    <w:rsid w:val="003838EB"/>
    <w:rsid w:val="003A59BB"/>
    <w:rsid w:val="003C3E33"/>
    <w:rsid w:val="003E47AA"/>
    <w:rsid w:val="003E5748"/>
    <w:rsid w:val="003F6864"/>
    <w:rsid w:val="00405D95"/>
    <w:rsid w:val="00407900"/>
    <w:rsid w:val="004122BE"/>
    <w:rsid w:val="00442A78"/>
    <w:rsid w:val="004557DC"/>
    <w:rsid w:val="0046076E"/>
    <w:rsid w:val="004640BD"/>
    <w:rsid w:val="00474089"/>
    <w:rsid w:val="004A1389"/>
    <w:rsid w:val="004D4964"/>
    <w:rsid w:val="004F1DFD"/>
    <w:rsid w:val="004F3B76"/>
    <w:rsid w:val="004F47C9"/>
    <w:rsid w:val="00504A4B"/>
    <w:rsid w:val="0051467E"/>
    <w:rsid w:val="00524A88"/>
    <w:rsid w:val="00552C1B"/>
    <w:rsid w:val="00553855"/>
    <w:rsid w:val="00567182"/>
    <w:rsid w:val="0059554D"/>
    <w:rsid w:val="005B26C6"/>
    <w:rsid w:val="005B7FDC"/>
    <w:rsid w:val="005D6417"/>
    <w:rsid w:val="0060767C"/>
    <w:rsid w:val="00626333"/>
    <w:rsid w:val="0064591B"/>
    <w:rsid w:val="006548E6"/>
    <w:rsid w:val="00680CCE"/>
    <w:rsid w:val="006A6DFD"/>
    <w:rsid w:val="006A7F6C"/>
    <w:rsid w:val="006B3369"/>
    <w:rsid w:val="0070364D"/>
    <w:rsid w:val="007201D6"/>
    <w:rsid w:val="00720B19"/>
    <w:rsid w:val="00723EBF"/>
    <w:rsid w:val="007549FF"/>
    <w:rsid w:val="00780937"/>
    <w:rsid w:val="00793B91"/>
    <w:rsid w:val="0079427B"/>
    <w:rsid w:val="007B5BDF"/>
    <w:rsid w:val="007E38CC"/>
    <w:rsid w:val="00812385"/>
    <w:rsid w:val="00817512"/>
    <w:rsid w:val="00822812"/>
    <w:rsid w:val="00844056"/>
    <w:rsid w:val="008539C9"/>
    <w:rsid w:val="00895FD2"/>
    <w:rsid w:val="008B1542"/>
    <w:rsid w:val="008B3F3B"/>
    <w:rsid w:val="008C3CB4"/>
    <w:rsid w:val="008C65F0"/>
    <w:rsid w:val="008D4ECB"/>
    <w:rsid w:val="008D610F"/>
    <w:rsid w:val="008E0C5E"/>
    <w:rsid w:val="008E7143"/>
    <w:rsid w:val="008F3626"/>
    <w:rsid w:val="00912CD0"/>
    <w:rsid w:val="00925697"/>
    <w:rsid w:val="00933D15"/>
    <w:rsid w:val="0093492C"/>
    <w:rsid w:val="00942A75"/>
    <w:rsid w:val="0094469B"/>
    <w:rsid w:val="009466A8"/>
    <w:rsid w:val="00954901"/>
    <w:rsid w:val="00954F63"/>
    <w:rsid w:val="00961552"/>
    <w:rsid w:val="0098331E"/>
    <w:rsid w:val="009D7AEF"/>
    <w:rsid w:val="009F70CB"/>
    <w:rsid w:val="00A006B4"/>
    <w:rsid w:val="00A0371F"/>
    <w:rsid w:val="00A067FB"/>
    <w:rsid w:val="00A07982"/>
    <w:rsid w:val="00A07C2E"/>
    <w:rsid w:val="00A1116C"/>
    <w:rsid w:val="00A252D4"/>
    <w:rsid w:val="00A607F0"/>
    <w:rsid w:val="00A912AC"/>
    <w:rsid w:val="00A967CD"/>
    <w:rsid w:val="00AA3CA8"/>
    <w:rsid w:val="00AC0284"/>
    <w:rsid w:val="00AD5DB2"/>
    <w:rsid w:val="00AE179C"/>
    <w:rsid w:val="00AE7195"/>
    <w:rsid w:val="00B17E19"/>
    <w:rsid w:val="00B20E2F"/>
    <w:rsid w:val="00B24F12"/>
    <w:rsid w:val="00B63262"/>
    <w:rsid w:val="00B83B73"/>
    <w:rsid w:val="00BB0C5C"/>
    <w:rsid w:val="00BD1EFD"/>
    <w:rsid w:val="00BD278E"/>
    <w:rsid w:val="00BD54C6"/>
    <w:rsid w:val="00BE34F3"/>
    <w:rsid w:val="00BF5567"/>
    <w:rsid w:val="00C0011A"/>
    <w:rsid w:val="00C264AF"/>
    <w:rsid w:val="00C54225"/>
    <w:rsid w:val="00C57283"/>
    <w:rsid w:val="00C7016D"/>
    <w:rsid w:val="00CB48D3"/>
    <w:rsid w:val="00CD6EFF"/>
    <w:rsid w:val="00CE3ABB"/>
    <w:rsid w:val="00CF7F3B"/>
    <w:rsid w:val="00D01681"/>
    <w:rsid w:val="00D34D61"/>
    <w:rsid w:val="00D6192E"/>
    <w:rsid w:val="00D77FA1"/>
    <w:rsid w:val="00D97F45"/>
    <w:rsid w:val="00DA1F69"/>
    <w:rsid w:val="00DD6A1D"/>
    <w:rsid w:val="00E32831"/>
    <w:rsid w:val="00E61AC1"/>
    <w:rsid w:val="00E64AF9"/>
    <w:rsid w:val="00E95897"/>
    <w:rsid w:val="00F41C56"/>
    <w:rsid w:val="00F46200"/>
    <w:rsid w:val="00F66ADD"/>
    <w:rsid w:val="00F85A40"/>
    <w:rsid w:val="00FB2B1E"/>
    <w:rsid w:val="00FC44FF"/>
    <w:rsid w:val="00FD0E4E"/>
    <w:rsid w:val="00FD6F5A"/>
    <w:rsid w:val="00FE324A"/>
    <w:rsid w:val="0368520A"/>
    <w:rsid w:val="054D74BC"/>
    <w:rsid w:val="0B325AFC"/>
    <w:rsid w:val="128A4CEF"/>
    <w:rsid w:val="15761980"/>
    <w:rsid w:val="177D4EA5"/>
    <w:rsid w:val="21E37C7F"/>
    <w:rsid w:val="229B3174"/>
    <w:rsid w:val="233C0879"/>
    <w:rsid w:val="23517846"/>
    <w:rsid w:val="348710A9"/>
    <w:rsid w:val="3FBC7B10"/>
    <w:rsid w:val="4DCF5983"/>
    <w:rsid w:val="4EDE3DA4"/>
    <w:rsid w:val="4EF90834"/>
    <w:rsid w:val="4F0B22DA"/>
    <w:rsid w:val="504F4D66"/>
    <w:rsid w:val="50E068BB"/>
    <w:rsid w:val="513C3651"/>
    <w:rsid w:val="53B70907"/>
    <w:rsid w:val="55FC7226"/>
    <w:rsid w:val="5A3211DB"/>
    <w:rsid w:val="5A9A2990"/>
    <w:rsid w:val="5DE83FE9"/>
    <w:rsid w:val="5E0E7961"/>
    <w:rsid w:val="5EF05DFC"/>
    <w:rsid w:val="6236278F"/>
    <w:rsid w:val="62B0403E"/>
    <w:rsid w:val="6CEA555F"/>
    <w:rsid w:val="6F280779"/>
    <w:rsid w:val="78F84CDB"/>
    <w:rsid w:val="79D6588F"/>
    <w:rsid w:val="7A6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rFonts w:eastAsia="Calibri"/>
      <w:sz w:val="21"/>
    </w:rPr>
  </w:style>
  <w:style w:type="paragraph" w:customStyle="1" w:styleId="14">
    <w:name w:val="公文标题"/>
    <w:basedOn w:val="1"/>
    <w:link w:val="16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5">
    <w:name w:val="1级标题"/>
    <w:basedOn w:val="11"/>
    <w:link w:val="19"/>
    <w:qFormat/>
    <w:uiPriority w:val="0"/>
    <w:pPr>
      <w:numPr>
        <w:ilvl w:val="0"/>
        <w:numId w:val="1"/>
      </w:numPr>
      <w:tabs>
        <w:tab w:val="left" w:pos="1120"/>
      </w:tabs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6">
    <w:name w:val="公文标题 字符"/>
    <w:link w:val="14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17">
    <w:name w:val="2级标题"/>
    <w:basedOn w:val="1"/>
    <w:link w:val="21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18">
    <w:name w:val="列表段落 字符"/>
    <w:link w:val="11"/>
    <w:qFormat/>
    <w:uiPriority w:val="34"/>
    <w:rPr>
      <w:kern w:val="2"/>
      <w:sz w:val="21"/>
      <w:szCs w:val="22"/>
    </w:rPr>
  </w:style>
  <w:style w:type="character" w:customStyle="1" w:styleId="19">
    <w:name w:val="1级标题 字符"/>
    <w:link w:val="1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0">
    <w:name w:val="3级标题"/>
    <w:basedOn w:val="1"/>
    <w:link w:val="23"/>
    <w:qFormat/>
    <w:uiPriority w:val="0"/>
    <w:pPr>
      <w:numPr>
        <w:ilvl w:val="0"/>
        <w:numId w:val="3"/>
      </w:numPr>
      <w:spacing w:line="578" w:lineRule="exact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1">
    <w:name w:val="2级标题 字符"/>
    <w:link w:val="17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2">
    <w:name w:val="公文正文"/>
    <w:basedOn w:val="1"/>
    <w:link w:val="25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3">
    <w:name w:val="3级标题 字符"/>
    <w:link w:val="20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4">
    <w:name w:val="4级标题"/>
    <w:basedOn w:val="1"/>
    <w:link w:val="27"/>
    <w:qFormat/>
    <w:uiPriority w:val="0"/>
    <w:pPr>
      <w:numPr>
        <w:ilvl w:val="0"/>
        <w:numId w:val="4"/>
      </w:numPr>
      <w:spacing w:line="578" w:lineRule="exact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5">
    <w:name w:val="公文正文 字符"/>
    <w:link w:val="22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6">
    <w:name w:val="附件标记"/>
    <w:basedOn w:val="1"/>
    <w:link w:val="28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27">
    <w:name w:val="4级标题 字符"/>
    <w:link w:val="24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8">
    <w:name w:val="附件标记 字符"/>
    <w:link w:val="26"/>
    <w:qFormat/>
    <w:uiPriority w:val="0"/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8D0D-9209-4802-A3FD-2CD478D4C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2</Pages>
  <Words>123</Words>
  <Characters>702</Characters>
  <Lines>5</Lines>
  <Paragraphs>1</Paragraphs>
  <TotalTime>123</TotalTime>
  <ScaleCrop>false</ScaleCrop>
  <LinksUpToDate>false</LinksUpToDate>
  <CharactersWithSpaces>824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2020-07-09T05:37:00Z</dcterms:created>
  <dc:creator>Microsoft</dc:creator>
  <cp:lastModifiedBy>SPICF</cp:lastModifiedBy>
  <cp:lastPrinted>2017-08-23T07:08:00Z</cp:lastPrinted>
  <dcterms:modified xsi:type="dcterms:W3CDTF">2021-09-27T01:30:39Z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1EC39173A36E4F0EB624CFA6B5ADB1D4</vt:lpwstr>
  </property>
</Properties>
</file>