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中国电能成套设备有限公司所属企业公开招聘岗位职责</w:t>
      </w:r>
      <w:bookmarkStart w:id="0" w:name="_GoBack"/>
      <w:bookmarkEnd w:id="0"/>
      <w:r>
        <w:rPr>
          <w:rFonts w:hint="eastAsia"/>
          <w:b/>
          <w:sz w:val="44"/>
          <w:szCs w:val="44"/>
        </w:rPr>
        <w:t>及任职条件</w:t>
      </w:r>
    </w:p>
    <w:tbl>
      <w:tblPr>
        <w:tblStyle w:val="3"/>
        <w:tblW w:w="143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1276"/>
        <w:gridCol w:w="567"/>
        <w:gridCol w:w="4213"/>
        <w:gridCol w:w="5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tblHeader/>
          <w:jc w:val="center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名称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人数</w:t>
            </w:r>
          </w:p>
        </w:tc>
        <w:tc>
          <w:tcPr>
            <w:tcW w:w="4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主要职责</w:t>
            </w:r>
          </w:p>
        </w:tc>
        <w:tc>
          <w:tcPr>
            <w:tcW w:w="5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1"/>
              </w:rPr>
              <w:t>基本任职条件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电能（北京）工程监理有限公司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总会计师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4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1.协助总经理分管财务管理工作；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2.组织制定财务管理制度体系，构建公司内部风险管控机制，监督各项财务管理制度的执行情况；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3.组织制定所属企业长短期融资计划，优化所属企业资本结构，制定资金管控方案，组织实施大额资金筹集、使用、催收和监控工作，推行资金集中管理，依法依规进行自有资金运作。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</w:t>
            </w:r>
            <w:r>
              <w:rPr>
                <w:rFonts w:ascii="仿宋_GB2312" w:hAnsi="宋体" w:cs="宋体"/>
                <w:kern w:val="0"/>
                <w:sz w:val="24"/>
              </w:rPr>
              <w:t>.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负责资金计划、筹措、平衡、资金运作等资金管理工作，加强债权债务及或有负债管理，有效控制财务风险。</w:t>
            </w:r>
          </w:p>
        </w:tc>
        <w:tc>
          <w:tcPr>
            <w:tcW w:w="58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1.大学本科及以上学历（留学归国人员应取得教育部留学服务中心的学历认证），财务、会计、经济相关专业背景，具有会计师、审计师（中级及以上）职称，有注册会计师执业资格的优先考虑；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  <w:r>
              <w:rPr>
                <w:rFonts w:ascii="仿宋_GB2312" w:hAnsi="宋体" w:cs="宋体"/>
                <w:kern w:val="0"/>
                <w:sz w:val="24"/>
              </w:rPr>
              <w:t>.5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年以上财务相关工作经历，具有2年及以上三级单位财务部主要负责人工作经历，有集团公司总部或二级单位本部财务工作经历的优先考虑；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3.具有副处级岗位，或下一层级3年以上，或未满3年的一般应当在下两层级岗位累计5年以上，且任下一层级岗位1年以上；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4.熟悉能源电力企业财务管理，具有财务计划、成本分析、预算、成本核算等管理工作经验；</w:t>
            </w:r>
          </w:p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5.年龄不超过4</w:t>
            </w:r>
            <w:r>
              <w:rPr>
                <w:rFonts w:ascii="仿宋_GB2312" w:hAnsi="宋体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岁（1</w:t>
            </w:r>
            <w:r>
              <w:rPr>
                <w:rFonts w:ascii="仿宋_GB2312" w:hAnsi="宋体" w:cs="宋体"/>
                <w:kern w:val="0"/>
                <w:sz w:val="24"/>
              </w:rPr>
              <w:t>982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年1月1日后出生），特别优秀的年龄可适当放宽至</w:t>
            </w:r>
            <w:r>
              <w:rPr>
                <w:rFonts w:ascii="仿宋_GB2312" w:hAnsi="宋体" w:cs="宋体"/>
                <w:kern w:val="0"/>
                <w:sz w:val="24"/>
              </w:rPr>
              <w:t>42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国家电投集团电能能源科技有限公司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421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8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电能（北京）认证中心有限公司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421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8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北京宝之谷农业科技开发有限公司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4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58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jlmNmZlNDE5MTY0YTVkMzkzYWExZjQ2NWQ3OTQifQ=="/>
  </w:docVars>
  <w:rsids>
    <w:rsidRoot w:val="50201EC0"/>
    <w:rsid w:val="5020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605</Characters>
  <Lines>0</Lines>
  <Paragraphs>0</Paragraphs>
  <TotalTime>2</TotalTime>
  <ScaleCrop>false</ScaleCrop>
  <LinksUpToDate>false</LinksUpToDate>
  <CharactersWithSpaces>605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2022-11-04T04:13:00Z</dcterms:created>
  <dc:creator>Old soldiers never die</dc:creator>
  <cp:lastModifiedBy>Old soldiers never die</cp:lastModifiedBy>
  <dcterms:modified xsi:type="dcterms:W3CDTF">2022-11-04T04:16:06Z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F73A59E3A6AC4401B267403E49D9C85A</vt:lpwstr>
  </property>
</Properties>
</file>